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附件1</w:t>
      </w:r>
    </w:p>
    <w:p w:rsidR="00174E06" w:rsidRPr="00174E06" w:rsidRDefault="00174E06" w:rsidP="00174E06">
      <w:pPr>
        <w:widowControl/>
        <w:jc w:val="left"/>
        <w:rPr>
          <w:rFonts w:hAnsi="宋体" w:cs="宋体"/>
          <w:color w:val="auto"/>
          <w:kern w:val="0"/>
          <w:sz w:val="18"/>
          <w:szCs w:val="18"/>
        </w:rPr>
      </w:pPr>
      <w:r w:rsidRPr="00174E06">
        <w:rPr>
          <w:rFonts w:hAnsi="宋体" w:cs="宋体"/>
          <w:b/>
          <w:bCs/>
          <w:color w:val="auto"/>
          <w:kern w:val="0"/>
          <w:sz w:val="18"/>
          <w:szCs w:val="18"/>
        </w:rPr>
        <w:t>                                            考试收费标准</w:t>
      </w:r>
    </w:p>
    <w:tbl>
      <w:tblPr>
        <w:tblW w:w="972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800"/>
        <w:gridCol w:w="1080"/>
        <w:gridCol w:w="2490"/>
        <w:gridCol w:w="2910"/>
        <w:gridCol w:w="1440"/>
      </w:tblGrid>
      <w:tr w:rsidR="00174E06" w:rsidRPr="00174E06">
        <w:trPr>
          <w:tblCellSpacing w:w="0" w:type="dxa"/>
          <w:jc w:val="center"/>
        </w:trPr>
        <w:tc>
          <w:tcPr>
            <w:tcW w:w="1800" w:type="dxa"/>
            <w:vMerge w:val="restart"/>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b/>
                <w:bCs/>
                <w:color w:val="auto"/>
                <w:kern w:val="0"/>
                <w:sz w:val="18"/>
                <w:szCs w:val="18"/>
              </w:rPr>
              <w:t>考试项目</w:t>
            </w:r>
          </w:p>
        </w:tc>
        <w:tc>
          <w:tcPr>
            <w:tcW w:w="3570"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b/>
                <w:bCs/>
                <w:color w:val="auto"/>
                <w:kern w:val="0"/>
                <w:sz w:val="18"/>
                <w:szCs w:val="18"/>
              </w:rPr>
              <w:t>收费标准</w:t>
            </w:r>
          </w:p>
        </w:tc>
        <w:tc>
          <w:tcPr>
            <w:tcW w:w="2910" w:type="dxa"/>
            <w:vMerge w:val="restart"/>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b/>
                <w:bCs/>
                <w:color w:val="auto"/>
                <w:kern w:val="0"/>
                <w:sz w:val="18"/>
                <w:szCs w:val="18"/>
              </w:rPr>
              <w:t>收费依据</w:t>
            </w:r>
          </w:p>
        </w:tc>
        <w:tc>
          <w:tcPr>
            <w:tcW w:w="1440" w:type="dxa"/>
            <w:vMerge w:val="restart"/>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b/>
                <w:bCs/>
                <w:color w:val="auto"/>
                <w:kern w:val="0"/>
                <w:sz w:val="18"/>
                <w:szCs w:val="18"/>
              </w:rPr>
              <w:t>备注</w:t>
            </w:r>
          </w:p>
        </w:tc>
      </w:tr>
      <w:tr w:rsidR="00174E06" w:rsidRPr="00174E06">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108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b/>
                <w:bCs/>
                <w:color w:val="auto"/>
                <w:kern w:val="0"/>
                <w:sz w:val="18"/>
                <w:szCs w:val="18"/>
              </w:rPr>
              <w:t>报名费</w:t>
            </w:r>
          </w:p>
        </w:tc>
        <w:tc>
          <w:tcPr>
            <w:tcW w:w="249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b/>
                <w:bCs/>
                <w:color w:val="auto"/>
                <w:kern w:val="0"/>
                <w:sz w:val="18"/>
                <w:szCs w:val="18"/>
              </w:rPr>
              <w:t>考务费</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r>
      <w:tr w:rsidR="00174E06" w:rsidRPr="00174E06">
        <w:trPr>
          <w:tblCellSpacing w:w="0" w:type="dxa"/>
          <w:jc w:val="center"/>
        </w:trPr>
        <w:tc>
          <w:tcPr>
            <w:tcW w:w="180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b/>
                <w:bCs/>
                <w:color w:val="auto"/>
                <w:kern w:val="0"/>
                <w:sz w:val="18"/>
                <w:szCs w:val="18"/>
              </w:rPr>
              <w:t>注册咨询工程师</w:t>
            </w:r>
          </w:p>
          <w:p w:rsidR="00174E06" w:rsidRPr="00174E06" w:rsidRDefault="00174E06" w:rsidP="00174E06">
            <w:pPr>
              <w:widowControl/>
              <w:jc w:val="center"/>
              <w:rPr>
                <w:rFonts w:hAnsi="宋体" w:cs="宋体"/>
                <w:color w:val="auto"/>
                <w:kern w:val="0"/>
                <w:sz w:val="18"/>
                <w:szCs w:val="18"/>
              </w:rPr>
            </w:pPr>
            <w:r w:rsidRPr="00174E06">
              <w:rPr>
                <w:rFonts w:hAnsi="宋体" w:cs="宋体"/>
                <w:b/>
                <w:bCs/>
                <w:color w:val="auto"/>
                <w:kern w:val="0"/>
                <w:sz w:val="18"/>
                <w:szCs w:val="18"/>
              </w:rPr>
              <w:t>（投资）</w:t>
            </w:r>
          </w:p>
        </w:tc>
        <w:tc>
          <w:tcPr>
            <w:tcW w:w="108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13元/人</w:t>
            </w:r>
          </w:p>
        </w:tc>
        <w:tc>
          <w:tcPr>
            <w:tcW w:w="249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每人每科交考务费48元</w:t>
            </w:r>
          </w:p>
        </w:tc>
        <w:tc>
          <w:tcPr>
            <w:tcW w:w="291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《国家计委、财政部关于出版专业技术人员职业资格考试等收费标准的通知》（计价格〔2002〕1698号）和省物价局、省财政厅吉价收函〔2001〕52号</w:t>
            </w:r>
          </w:p>
        </w:tc>
        <w:tc>
          <w:tcPr>
            <w:tcW w:w="144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各市（州）人事职考部门留用报名费13元/人</w:t>
            </w:r>
          </w:p>
        </w:tc>
      </w:tr>
      <w:tr w:rsidR="00174E06" w:rsidRPr="00174E06">
        <w:trPr>
          <w:tblCellSpacing w:w="0" w:type="dxa"/>
          <w:jc w:val="center"/>
        </w:trPr>
        <w:tc>
          <w:tcPr>
            <w:tcW w:w="180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b/>
                <w:bCs/>
                <w:color w:val="auto"/>
                <w:kern w:val="0"/>
                <w:sz w:val="18"/>
                <w:szCs w:val="18"/>
              </w:rPr>
              <w:t>二级地震安全性评价工程师</w:t>
            </w:r>
          </w:p>
        </w:tc>
        <w:tc>
          <w:tcPr>
            <w:tcW w:w="108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13元/人</w:t>
            </w:r>
          </w:p>
        </w:tc>
        <w:tc>
          <w:tcPr>
            <w:tcW w:w="249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考务费每科36元</w:t>
            </w:r>
          </w:p>
        </w:tc>
        <w:tc>
          <w:tcPr>
            <w:tcW w:w="291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吉省价收函[2001]52号文件</w:t>
            </w:r>
          </w:p>
        </w:tc>
        <w:tc>
          <w:tcPr>
            <w:tcW w:w="144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同上</w:t>
            </w:r>
          </w:p>
        </w:tc>
      </w:tr>
      <w:tr w:rsidR="00174E06" w:rsidRPr="00174E06">
        <w:trPr>
          <w:tblCellSpacing w:w="0" w:type="dxa"/>
          <w:jc w:val="center"/>
        </w:trPr>
        <w:tc>
          <w:tcPr>
            <w:tcW w:w="180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b/>
                <w:bCs/>
                <w:color w:val="auto"/>
                <w:kern w:val="0"/>
                <w:sz w:val="18"/>
                <w:szCs w:val="18"/>
              </w:rPr>
              <w:t>投资建设</w:t>
            </w:r>
          </w:p>
          <w:p w:rsidR="00174E06" w:rsidRPr="00174E06" w:rsidRDefault="00174E06" w:rsidP="00174E06">
            <w:pPr>
              <w:widowControl/>
              <w:jc w:val="center"/>
              <w:rPr>
                <w:rFonts w:hAnsi="宋体" w:cs="宋体"/>
                <w:color w:val="auto"/>
                <w:kern w:val="0"/>
                <w:sz w:val="18"/>
                <w:szCs w:val="18"/>
              </w:rPr>
            </w:pPr>
            <w:r w:rsidRPr="00174E06">
              <w:rPr>
                <w:rFonts w:hAnsi="宋体" w:cs="宋体"/>
                <w:b/>
                <w:bCs/>
                <w:color w:val="auto"/>
                <w:kern w:val="0"/>
                <w:sz w:val="18"/>
                <w:szCs w:val="18"/>
              </w:rPr>
              <w:t>项目管理师</w:t>
            </w:r>
          </w:p>
        </w:tc>
        <w:tc>
          <w:tcPr>
            <w:tcW w:w="108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13元/人</w:t>
            </w:r>
          </w:p>
        </w:tc>
        <w:tc>
          <w:tcPr>
            <w:tcW w:w="249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《宏观经济政策》、《投资建设项目组织》每人每科交考务费54元，《投资建设项目决策》、《投资建设项目实施》每人每科交考务费60元</w:t>
            </w:r>
          </w:p>
        </w:tc>
        <w:tc>
          <w:tcPr>
            <w:tcW w:w="291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《国家发展与改革委、财政部关于重新核定投资项目管理师职业水平考试收费标准及有关问题的通知》（发改价格〔2008〕2666号）和省物价局、省财政厅吉价收函〔2001〕52号</w:t>
            </w:r>
          </w:p>
        </w:tc>
        <w:tc>
          <w:tcPr>
            <w:tcW w:w="144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同上</w:t>
            </w:r>
          </w:p>
        </w:tc>
      </w:tr>
      <w:tr w:rsidR="00174E06" w:rsidRPr="00174E06">
        <w:trPr>
          <w:tblCellSpacing w:w="0" w:type="dxa"/>
          <w:jc w:val="center"/>
        </w:trPr>
        <w:tc>
          <w:tcPr>
            <w:tcW w:w="180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b/>
                <w:bCs/>
                <w:color w:val="auto"/>
                <w:kern w:val="0"/>
                <w:sz w:val="18"/>
                <w:szCs w:val="18"/>
              </w:rPr>
              <w:t>环评工程师</w:t>
            </w:r>
          </w:p>
        </w:tc>
        <w:tc>
          <w:tcPr>
            <w:tcW w:w="108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13元/人</w:t>
            </w:r>
          </w:p>
        </w:tc>
        <w:tc>
          <w:tcPr>
            <w:tcW w:w="249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《环境影响评价案例分析》科目每人考试费55元，其他科目每人每科考试费35元。</w:t>
            </w:r>
          </w:p>
        </w:tc>
        <w:tc>
          <w:tcPr>
            <w:tcW w:w="291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《国家发展改革委、财政部关于重新核定注册核安全工程师和环境影响评价工程师职业资格考试收费标准的通知》（发改价格〔2007〕1925号）和省物价局、省财政厅吉价收函〔2001〕52号</w:t>
            </w:r>
          </w:p>
        </w:tc>
        <w:tc>
          <w:tcPr>
            <w:tcW w:w="144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同上</w:t>
            </w:r>
          </w:p>
        </w:tc>
      </w:tr>
      <w:tr w:rsidR="00174E06" w:rsidRPr="00174E06">
        <w:trPr>
          <w:tblCellSpacing w:w="0" w:type="dxa"/>
          <w:jc w:val="center"/>
        </w:trPr>
        <w:tc>
          <w:tcPr>
            <w:tcW w:w="180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b/>
                <w:bCs/>
                <w:color w:val="auto"/>
                <w:kern w:val="0"/>
                <w:sz w:val="18"/>
                <w:szCs w:val="18"/>
              </w:rPr>
              <w:t>监理工程师</w:t>
            </w:r>
          </w:p>
        </w:tc>
        <w:tc>
          <w:tcPr>
            <w:tcW w:w="108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13元/人</w:t>
            </w:r>
          </w:p>
        </w:tc>
        <w:tc>
          <w:tcPr>
            <w:tcW w:w="249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每人每科交考务费43元。</w:t>
            </w:r>
          </w:p>
        </w:tc>
        <w:tc>
          <w:tcPr>
            <w:tcW w:w="291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《国家发展改革委、财政部关于重新核定人事部人事考试中心考试收费标准及有关问题的通知》（发改价格〔2004〕1108号）和省物价局、省财政厅吉价收函〔2001〕52号</w:t>
            </w:r>
          </w:p>
        </w:tc>
        <w:tc>
          <w:tcPr>
            <w:tcW w:w="144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同上</w:t>
            </w:r>
          </w:p>
        </w:tc>
      </w:tr>
      <w:tr w:rsidR="00174E06" w:rsidRPr="00174E06">
        <w:trPr>
          <w:tblCellSpacing w:w="0" w:type="dxa"/>
          <w:jc w:val="center"/>
        </w:trPr>
        <w:tc>
          <w:tcPr>
            <w:tcW w:w="180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b/>
                <w:bCs/>
                <w:color w:val="auto"/>
                <w:kern w:val="0"/>
                <w:sz w:val="18"/>
                <w:szCs w:val="18"/>
              </w:rPr>
              <w:t>注册税务师</w:t>
            </w:r>
          </w:p>
        </w:tc>
        <w:tc>
          <w:tcPr>
            <w:tcW w:w="108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13元/人</w:t>
            </w:r>
          </w:p>
        </w:tc>
        <w:tc>
          <w:tcPr>
            <w:tcW w:w="249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每人每科交考务费42元</w:t>
            </w:r>
          </w:p>
        </w:tc>
        <w:tc>
          <w:tcPr>
            <w:tcW w:w="291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《国家发展与改革委、财政部关于重新核定人事部人事考试中心考试收费标准及有关问题的通知》（发改价格〔2004〕1108号）和省物价局、省财政厅吉价收函〔2001〕52号</w:t>
            </w:r>
          </w:p>
        </w:tc>
        <w:tc>
          <w:tcPr>
            <w:tcW w:w="144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同上</w:t>
            </w:r>
          </w:p>
        </w:tc>
      </w:tr>
      <w:tr w:rsidR="00174E06" w:rsidRPr="00174E06">
        <w:trPr>
          <w:tblCellSpacing w:w="0" w:type="dxa"/>
          <w:jc w:val="center"/>
        </w:trPr>
        <w:tc>
          <w:tcPr>
            <w:tcW w:w="180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b/>
                <w:bCs/>
                <w:color w:val="auto"/>
                <w:kern w:val="0"/>
                <w:sz w:val="18"/>
                <w:szCs w:val="18"/>
              </w:rPr>
              <w:t>广告专业</w:t>
            </w:r>
          </w:p>
          <w:p w:rsidR="00174E06" w:rsidRPr="00174E06" w:rsidRDefault="00174E06" w:rsidP="00174E06">
            <w:pPr>
              <w:widowControl/>
              <w:jc w:val="center"/>
              <w:rPr>
                <w:rFonts w:hAnsi="宋体" w:cs="宋体"/>
                <w:color w:val="auto"/>
                <w:kern w:val="0"/>
                <w:sz w:val="18"/>
                <w:szCs w:val="18"/>
              </w:rPr>
            </w:pPr>
            <w:r w:rsidRPr="00174E06">
              <w:rPr>
                <w:rFonts w:hAnsi="宋体" w:cs="宋体"/>
                <w:b/>
                <w:bCs/>
                <w:color w:val="auto"/>
                <w:kern w:val="0"/>
                <w:sz w:val="18"/>
                <w:szCs w:val="18"/>
              </w:rPr>
              <w:t>职业资格</w:t>
            </w:r>
          </w:p>
        </w:tc>
        <w:tc>
          <w:tcPr>
            <w:tcW w:w="108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13元/人</w:t>
            </w:r>
          </w:p>
        </w:tc>
        <w:tc>
          <w:tcPr>
            <w:tcW w:w="249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助理广告师每人每科61元。</w:t>
            </w:r>
          </w:p>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广告师每人每科66元。</w:t>
            </w:r>
          </w:p>
        </w:tc>
        <w:tc>
          <w:tcPr>
            <w:tcW w:w="291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《国家发展改革委、财政部关于助理广告师和广告师职业水平考试收费标准及有关问题的通知》（发改价格[2010]1669号）和吉省价收函字[2001]52号</w:t>
            </w:r>
          </w:p>
        </w:tc>
        <w:tc>
          <w:tcPr>
            <w:tcW w:w="144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同上</w:t>
            </w:r>
          </w:p>
        </w:tc>
      </w:tr>
      <w:tr w:rsidR="00174E06" w:rsidRPr="00174E06">
        <w:trPr>
          <w:tblCellSpacing w:w="0" w:type="dxa"/>
          <w:jc w:val="center"/>
        </w:trPr>
        <w:tc>
          <w:tcPr>
            <w:tcW w:w="180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b/>
                <w:bCs/>
                <w:color w:val="auto"/>
                <w:kern w:val="0"/>
                <w:sz w:val="18"/>
                <w:szCs w:val="18"/>
              </w:rPr>
              <w:t>管理咨询师</w:t>
            </w:r>
          </w:p>
        </w:tc>
        <w:tc>
          <w:tcPr>
            <w:tcW w:w="108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  无</w:t>
            </w:r>
          </w:p>
        </w:tc>
        <w:tc>
          <w:tcPr>
            <w:tcW w:w="249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每人每科考试费70元</w:t>
            </w:r>
          </w:p>
        </w:tc>
        <w:tc>
          <w:tcPr>
            <w:tcW w:w="291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《国家发展改革委、财政部关于重新核定管理咨询师职业水平考试收费标准及有关问题的通知》（发改价格[2009]3059号）和吉发改收管联函字[2007]111号</w:t>
            </w:r>
          </w:p>
        </w:tc>
        <w:tc>
          <w:tcPr>
            <w:tcW w:w="144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无</w:t>
            </w:r>
          </w:p>
        </w:tc>
      </w:tr>
    </w:tbl>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 </w:t>
      </w:r>
    </w:p>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lastRenderedPageBreak/>
        <w:t>附件2</w:t>
      </w:r>
    </w:p>
    <w:p w:rsidR="00174E06" w:rsidRPr="00174E06" w:rsidRDefault="00174E06" w:rsidP="00174E06">
      <w:pPr>
        <w:widowControl/>
        <w:jc w:val="left"/>
        <w:rPr>
          <w:rFonts w:hAnsi="宋体" w:cs="宋体"/>
          <w:color w:val="auto"/>
          <w:kern w:val="0"/>
          <w:sz w:val="18"/>
          <w:szCs w:val="18"/>
        </w:rPr>
      </w:pPr>
      <w:r w:rsidRPr="00174E06">
        <w:rPr>
          <w:rFonts w:hAnsi="宋体" w:cs="宋体"/>
          <w:b/>
          <w:bCs/>
          <w:color w:val="auto"/>
          <w:kern w:val="0"/>
          <w:sz w:val="18"/>
          <w:szCs w:val="18"/>
        </w:rPr>
        <w:t>                                           报考条件</w:t>
      </w:r>
    </w:p>
    <w:tbl>
      <w:tblPr>
        <w:tblW w:w="952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350"/>
        <w:gridCol w:w="1095"/>
        <w:gridCol w:w="585"/>
        <w:gridCol w:w="855"/>
        <w:gridCol w:w="390"/>
        <w:gridCol w:w="1755"/>
        <w:gridCol w:w="375"/>
        <w:gridCol w:w="3120"/>
      </w:tblGrid>
      <w:tr w:rsidR="00174E06" w:rsidRPr="00174E06">
        <w:trPr>
          <w:tblCellSpacing w:w="0" w:type="dxa"/>
        </w:trPr>
        <w:tc>
          <w:tcPr>
            <w:tcW w:w="135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b/>
                <w:bCs/>
                <w:color w:val="auto"/>
                <w:kern w:val="0"/>
                <w:sz w:val="18"/>
                <w:szCs w:val="18"/>
              </w:rPr>
              <w:t>考试类别</w:t>
            </w:r>
          </w:p>
        </w:tc>
        <w:tc>
          <w:tcPr>
            <w:tcW w:w="1680"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b/>
                <w:bCs/>
                <w:color w:val="auto"/>
                <w:kern w:val="0"/>
                <w:sz w:val="18"/>
                <w:szCs w:val="18"/>
              </w:rPr>
              <w:t>所学专业</w:t>
            </w:r>
          </w:p>
          <w:p w:rsidR="00174E06" w:rsidRPr="00174E06" w:rsidRDefault="00174E06" w:rsidP="00174E06">
            <w:pPr>
              <w:widowControl/>
              <w:jc w:val="center"/>
              <w:rPr>
                <w:rFonts w:hAnsi="宋体" w:cs="宋体"/>
                <w:color w:val="auto"/>
                <w:kern w:val="0"/>
                <w:sz w:val="18"/>
                <w:szCs w:val="18"/>
              </w:rPr>
            </w:pPr>
            <w:r w:rsidRPr="00174E06">
              <w:rPr>
                <w:rFonts w:hAnsi="宋体" w:cs="宋体"/>
                <w:b/>
                <w:bCs/>
                <w:color w:val="auto"/>
                <w:kern w:val="0"/>
                <w:sz w:val="18"/>
                <w:szCs w:val="18"/>
              </w:rPr>
              <w:t>或职称</w:t>
            </w:r>
          </w:p>
        </w:tc>
        <w:tc>
          <w:tcPr>
            <w:tcW w:w="3000" w:type="dxa"/>
            <w:gridSpan w:val="3"/>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b/>
                <w:bCs/>
                <w:color w:val="auto"/>
                <w:kern w:val="0"/>
                <w:sz w:val="18"/>
                <w:szCs w:val="18"/>
              </w:rPr>
              <w:t>学位或学历</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b/>
                <w:bCs/>
                <w:color w:val="auto"/>
                <w:kern w:val="0"/>
                <w:sz w:val="18"/>
                <w:szCs w:val="18"/>
              </w:rPr>
              <w:t>职业实践最少时间</w:t>
            </w:r>
          </w:p>
        </w:tc>
      </w:tr>
      <w:tr w:rsidR="00174E06" w:rsidRPr="00174E06">
        <w:trPr>
          <w:tblCellSpacing w:w="0" w:type="dxa"/>
        </w:trPr>
        <w:tc>
          <w:tcPr>
            <w:tcW w:w="1350" w:type="dxa"/>
            <w:vMerge w:val="restart"/>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b/>
                <w:bCs/>
                <w:color w:val="auto"/>
                <w:kern w:val="0"/>
                <w:sz w:val="18"/>
                <w:szCs w:val="18"/>
              </w:rPr>
              <w:t>注册咨询工程师</w:t>
            </w:r>
          </w:p>
          <w:p w:rsidR="00174E06" w:rsidRPr="00174E06" w:rsidRDefault="00174E06" w:rsidP="00174E06">
            <w:pPr>
              <w:widowControl/>
              <w:jc w:val="center"/>
              <w:rPr>
                <w:rFonts w:hAnsi="宋体" w:cs="宋体"/>
                <w:color w:val="auto"/>
                <w:kern w:val="0"/>
                <w:sz w:val="18"/>
                <w:szCs w:val="18"/>
              </w:rPr>
            </w:pPr>
            <w:r w:rsidRPr="00174E06">
              <w:rPr>
                <w:rFonts w:hAnsi="宋体" w:cs="宋体"/>
                <w:b/>
                <w:bCs/>
                <w:color w:val="auto"/>
                <w:kern w:val="0"/>
                <w:sz w:val="18"/>
                <w:szCs w:val="18"/>
              </w:rPr>
              <w:t>（投资）</w:t>
            </w:r>
          </w:p>
        </w:tc>
        <w:tc>
          <w:tcPr>
            <w:tcW w:w="1680" w:type="dxa"/>
            <w:gridSpan w:val="2"/>
            <w:vMerge w:val="restart"/>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工程技术或</w:t>
            </w:r>
          </w:p>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工程经济类</w:t>
            </w:r>
          </w:p>
        </w:tc>
        <w:tc>
          <w:tcPr>
            <w:tcW w:w="3000" w:type="dxa"/>
            <w:gridSpan w:val="3"/>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大学专科</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从事工程咨询相关业务满8年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3000" w:type="dxa"/>
            <w:gridSpan w:val="3"/>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大学本科</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从事工程咨询相关业务满6年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3000" w:type="dxa"/>
            <w:gridSpan w:val="3"/>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双学士学位或</w:t>
            </w:r>
          </w:p>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研究生班毕业</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从事工程咨询相关业务满4年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3000" w:type="dxa"/>
            <w:gridSpan w:val="3"/>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硕士学位</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从事工程咨询相关业务满3年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3000" w:type="dxa"/>
            <w:gridSpan w:val="3"/>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博士学位</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从事工程咨询相关业务满2年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1680"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非工程技术类、工程经济类专业</w:t>
            </w:r>
          </w:p>
        </w:tc>
        <w:tc>
          <w:tcPr>
            <w:tcW w:w="3000" w:type="dxa"/>
            <w:gridSpan w:val="3"/>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取得上述</w:t>
            </w:r>
          </w:p>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学历或学位</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其从事工程咨询业务年限对应增加2年。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8175" w:type="dxa"/>
            <w:gridSpan w:val="7"/>
            <w:tcBorders>
              <w:top w:val="outset" w:sz="6" w:space="0" w:color="auto"/>
              <w:left w:val="outset" w:sz="6" w:space="0" w:color="auto"/>
              <w:bottom w:val="outset" w:sz="6" w:space="0" w:color="auto"/>
              <w:right w:val="outset" w:sz="6" w:space="0" w:color="auto"/>
            </w:tcBorders>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一、凡符合下列条件之一者，可免试《工程咨询概论》、《宏观经济政策与发展规划》、《工程项目组织与管理》3个科目,只参加《项目决策分析与评价》、《现代咨询方法与实务》2个科目考试：</w:t>
            </w:r>
          </w:p>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    1. 符合考试认定范围，但在考试认定中未获得通过的人员，名单由国家认定工作领导小组办公室提供。</w:t>
            </w:r>
          </w:p>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    2. 获国家计委或中国工程咨询协会优秀工程咨询成果奖项目及全国优秀工程勘察设计奖项目的主要完成人。“主要完成人”是指原国家计委颁发的优秀研究成果（前称科技进步奖）一、二、三等奖，中国工程咨询协会颁发的全国优秀工程咨询成果一、二、三等奖，以及建设部颁发的优秀工程设计和优秀工程勘察金、银、铜奖所附获奖证书或名单中所列所有人员。</w:t>
            </w:r>
          </w:p>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    3. 在2002年底前按国家规定取得高级专业技术职务任职资格，并从事工程咨询相关业务满8年。“工程咨询相关业务”是指：规划咨询、项目建议书编制、项目可行性研究报告编制、评估咨询、工程设计、招投标咨询、工程监理和管理咨询，以及与这8项服务范围相关的工程咨询管理、投资建设管理、教育和培训业务。</w:t>
            </w:r>
          </w:p>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    4. 通过国家执业资格考试，获得工程技术类执业资格证书，并从事工程咨询相关业务满8年。“工程技术类执业资格证书”是指：一级注册建筑师、一级注册结构工程师、注册城市规划师、造价工程师和监理工程师证书。</w:t>
            </w:r>
          </w:p>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    二、注册咨询工程师（投资）执业资格考试成绩实行3年为一个周期的滚动管理，考5个科目的人员在连续3个考试年度内通过全部科目的考试，方可获得合格证书；考2个科目的人员必须在1个考试年度内通过应试科目，考试成绩不实行滚动。</w:t>
            </w:r>
          </w:p>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三、考试通过取得资格证书人员，可聘任工程师或经济师。</w:t>
            </w:r>
          </w:p>
        </w:tc>
      </w:tr>
      <w:tr w:rsidR="00174E06" w:rsidRPr="00174E06">
        <w:trPr>
          <w:tblCellSpacing w:w="0" w:type="dxa"/>
        </w:trPr>
        <w:tc>
          <w:tcPr>
            <w:tcW w:w="1350" w:type="dxa"/>
            <w:vMerge w:val="restart"/>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b/>
                <w:bCs/>
                <w:color w:val="auto"/>
                <w:kern w:val="0"/>
                <w:sz w:val="18"/>
                <w:szCs w:val="18"/>
              </w:rPr>
              <w:t>二级地震安全性评价工程师</w:t>
            </w:r>
          </w:p>
        </w:tc>
        <w:tc>
          <w:tcPr>
            <w:tcW w:w="1680" w:type="dxa"/>
            <w:gridSpan w:val="2"/>
            <w:vMerge w:val="restart"/>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地质学、地球物理学或土木工程专业</w:t>
            </w:r>
          </w:p>
        </w:tc>
        <w:tc>
          <w:tcPr>
            <w:tcW w:w="3000" w:type="dxa"/>
            <w:gridSpan w:val="3"/>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博士学位</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从事地震安全性评价相关工作满 1 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3000" w:type="dxa"/>
            <w:gridSpan w:val="3"/>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硕士学位</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从事地震安全性评价相关工作满 3 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3000" w:type="dxa"/>
            <w:gridSpan w:val="3"/>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双学士学位或</w:t>
            </w:r>
          </w:p>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研究生班毕业</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从事地震安全性评价相关工作满 4 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3000" w:type="dxa"/>
            <w:gridSpan w:val="3"/>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大学本科学历或学位</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从事地震安全性评价相关工作满 5 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3000" w:type="dxa"/>
            <w:gridSpan w:val="3"/>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大学专科学历</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从事地震安全性评价相关工作满 7 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8175" w:type="dxa"/>
            <w:gridSpan w:val="7"/>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1、取得其他理学类或工学类专业学历、学位的人员，其从事地震安全性评价相关工作年限相应增加 2 年。</w:t>
            </w:r>
          </w:p>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   2、须在当年通过应试科目，方能取得资格证书。</w:t>
            </w:r>
          </w:p>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   3、截止 2004 年 12 月 31 日前，长期在地震安全性评价岗位工作，评聘为高级工程师专业技术职务，并取得中国地震局颁发的“甲级地震安全性评价上岗证”的人员，可免试《地震安全性评价法律法规及相关知识》科目，只参加《地震安全性评价管理与实务》和《地震安全性评价案例分析》2 个科目的考试。</w:t>
            </w:r>
          </w:p>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lastRenderedPageBreak/>
              <w:t> </w:t>
            </w:r>
          </w:p>
        </w:tc>
      </w:tr>
      <w:tr w:rsidR="00174E06" w:rsidRPr="00174E06">
        <w:trPr>
          <w:tblCellSpacing w:w="0" w:type="dxa"/>
        </w:trPr>
        <w:tc>
          <w:tcPr>
            <w:tcW w:w="1350" w:type="dxa"/>
            <w:vMerge w:val="restart"/>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b/>
                <w:bCs/>
                <w:color w:val="auto"/>
                <w:kern w:val="0"/>
                <w:sz w:val="18"/>
                <w:szCs w:val="18"/>
              </w:rPr>
              <w:lastRenderedPageBreak/>
              <w:t>投资建设项目管理师</w:t>
            </w:r>
          </w:p>
        </w:tc>
        <w:tc>
          <w:tcPr>
            <w:tcW w:w="2925" w:type="dxa"/>
            <w:gridSpan w:val="4"/>
            <w:vMerge w:val="restart"/>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工程技术、工程经济</w:t>
            </w:r>
          </w:p>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或工程管理类专业</w:t>
            </w:r>
          </w:p>
        </w:tc>
        <w:tc>
          <w:tcPr>
            <w:tcW w:w="1755"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大专</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从事投资建设项目专业管理工作满10年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gridSpan w:val="4"/>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1755"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本科</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从事投资建设项目专业管理工作满8年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gridSpan w:val="4"/>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1755"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硕士</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从事投资建设项目专业管理工作满5年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gridSpan w:val="4"/>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1755"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博士</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从事投资建设项目专业管理工作满3年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2925" w:type="dxa"/>
            <w:gridSpan w:val="4"/>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非工程技术、工程经济或工程管理类专业</w:t>
            </w:r>
          </w:p>
        </w:tc>
        <w:tc>
          <w:tcPr>
            <w:tcW w:w="1755"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取得上述相应学历或学位</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其从事投资建设项目专业管理工作年限相应增加2年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8175" w:type="dxa"/>
            <w:gridSpan w:val="7"/>
            <w:tcBorders>
              <w:top w:val="outset" w:sz="6" w:space="0" w:color="auto"/>
              <w:left w:val="outset" w:sz="6" w:space="0" w:color="auto"/>
              <w:bottom w:val="outset" w:sz="6" w:space="0" w:color="auto"/>
              <w:right w:val="outset" w:sz="6" w:space="0" w:color="auto"/>
            </w:tcBorders>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1、投资项目管理师职业水平考试成绩实行2年为一个周期的滚动管理办法。参加考试的人员必须在连续的2个考试年度内通过全部科目的考试，方可获得合格证书。</w:t>
            </w:r>
          </w:p>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2、通过全国统一考试取得《中华人民共和国投资建设项目管理师职业水平证书》的人员，可受聘承担投资建设项目高层专业管理工作。</w:t>
            </w:r>
          </w:p>
        </w:tc>
      </w:tr>
      <w:tr w:rsidR="00174E06" w:rsidRPr="00174E06">
        <w:trPr>
          <w:tblCellSpacing w:w="0" w:type="dxa"/>
        </w:trPr>
        <w:tc>
          <w:tcPr>
            <w:tcW w:w="1350" w:type="dxa"/>
            <w:vMerge w:val="restart"/>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b/>
                <w:bCs/>
                <w:color w:val="auto"/>
                <w:kern w:val="0"/>
                <w:sz w:val="18"/>
                <w:szCs w:val="18"/>
              </w:rPr>
              <w:t>管理咨询师</w:t>
            </w:r>
          </w:p>
        </w:tc>
        <w:tc>
          <w:tcPr>
            <w:tcW w:w="2925" w:type="dxa"/>
            <w:gridSpan w:val="4"/>
            <w:vMerge w:val="restart"/>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已取得经济学或管理类学历的人员</w:t>
            </w:r>
          </w:p>
        </w:tc>
        <w:tc>
          <w:tcPr>
            <w:tcW w:w="1755"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博士学位</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从事管理咨询及相关工作满1年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gridSpan w:val="4"/>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1755"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硕士学位</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从事管理咨询及相关工作满2年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gridSpan w:val="4"/>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1755"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大学本科</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从事管理咨询及相关工作满4年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gridSpan w:val="4"/>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1755"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大学专科</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从事管理咨询及相关工作满6年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2925" w:type="dxa"/>
            <w:gridSpan w:val="4"/>
            <w:vMerge w:val="restart"/>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已取得非经济学或管理类学历的人员</w:t>
            </w:r>
          </w:p>
        </w:tc>
        <w:tc>
          <w:tcPr>
            <w:tcW w:w="1755"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博士学位</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从事管理咨询及相关工作满3年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gridSpan w:val="4"/>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1755"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硕士学位</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从事管理咨询及相关工作满4年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gridSpan w:val="4"/>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1755"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大学本科</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从事管理咨询及相关工作满6年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gridSpan w:val="4"/>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1755"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大学专科</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从事管理咨询及相关工作满8年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4680" w:type="dxa"/>
            <w:gridSpan w:val="5"/>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通过全国统一考试取得会计师、经济师资格证书或经济类职（执）业资格证书。</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从事管理咨询及相关工作满1年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8175" w:type="dxa"/>
            <w:gridSpan w:val="7"/>
            <w:tcBorders>
              <w:top w:val="outset" w:sz="6" w:space="0" w:color="auto"/>
              <w:left w:val="outset" w:sz="6" w:space="0" w:color="auto"/>
              <w:bottom w:val="outset" w:sz="6" w:space="0" w:color="auto"/>
              <w:right w:val="outset" w:sz="6" w:space="0" w:color="auto"/>
            </w:tcBorders>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1、须在1个年度内通过全部科目考试为合格。</w:t>
            </w:r>
          </w:p>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2、合格人员可受聘承担企业管理咨询业务工作。用人单位可根据需要和本人专业背景聘任经济师或会计师专业技术职务。</w:t>
            </w:r>
          </w:p>
        </w:tc>
      </w:tr>
      <w:tr w:rsidR="00174E06" w:rsidRPr="00174E06">
        <w:trPr>
          <w:tblCellSpacing w:w="0" w:type="dxa"/>
        </w:trPr>
        <w:tc>
          <w:tcPr>
            <w:tcW w:w="1350" w:type="dxa"/>
            <w:vMerge w:val="restart"/>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b/>
                <w:bCs/>
                <w:color w:val="auto"/>
                <w:kern w:val="0"/>
                <w:sz w:val="18"/>
                <w:szCs w:val="18"/>
              </w:rPr>
              <w:t>环境影响</w:t>
            </w:r>
          </w:p>
          <w:p w:rsidR="00174E06" w:rsidRPr="00174E06" w:rsidRDefault="00174E06" w:rsidP="00174E06">
            <w:pPr>
              <w:widowControl/>
              <w:jc w:val="center"/>
              <w:rPr>
                <w:rFonts w:hAnsi="宋体" w:cs="宋体"/>
                <w:color w:val="auto"/>
                <w:kern w:val="0"/>
                <w:sz w:val="18"/>
                <w:szCs w:val="18"/>
              </w:rPr>
            </w:pPr>
            <w:r w:rsidRPr="00174E06">
              <w:rPr>
                <w:rFonts w:hAnsi="宋体" w:cs="宋体"/>
                <w:b/>
                <w:bCs/>
                <w:color w:val="auto"/>
                <w:kern w:val="0"/>
                <w:sz w:val="18"/>
                <w:szCs w:val="18"/>
              </w:rPr>
              <w:t>评价工程师</w:t>
            </w:r>
          </w:p>
        </w:tc>
        <w:tc>
          <w:tcPr>
            <w:tcW w:w="2925" w:type="dxa"/>
            <w:gridSpan w:val="4"/>
            <w:vMerge w:val="restart"/>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环境保护</w:t>
            </w:r>
          </w:p>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相关专业</w:t>
            </w:r>
          </w:p>
        </w:tc>
        <w:tc>
          <w:tcPr>
            <w:tcW w:w="1755"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大专学历</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从事环境影响评价工作满7年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gridSpan w:val="4"/>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1755"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学士学位</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从事环境影响评价工作满5年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gridSpan w:val="4"/>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1755"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硕士学位</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从事环境影响评价工作满2年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gridSpan w:val="4"/>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1755"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博士学位</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从事环境影响评价工作满1年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2925" w:type="dxa"/>
            <w:gridSpan w:val="4"/>
            <w:vMerge w:val="restart"/>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其他专业</w:t>
            </w:r>
          </w:p>
        </w:tc>
        <w:tc>
          <w:tcPr>
            <w:tcW w:w="1755"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大专学历</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从事环境影响评价工作满8年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gridSpan w:val="4"/>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1755"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学士学位</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从事环境影响评价工作满6年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gridSpan w:val="4"/>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1755"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硕士学位</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从事环境影响评价工作满3年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gridSpan w:val="4"/>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1755"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博士学位</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从事环境影响评价工作满2年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8175" w:type="dxa"/>
            <w:gridSpan w:val="7"/>
            <w:tcBorders>
              <w:top w:val="outset" w:sz="6" w:space="0" w:color="auto"/>
              <w:left w:val="outset" w:sz="6" w:space="0" w:color="auto"/>
              <w:bottom w:val="outset" w:sz="6" w:space="0" w:color="auto"/>
              <w:right w:val="outset" w:sz="6" w:space="0" w:color="auto"/>
            </w:tcBorders>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一、截至2003年12月31日前，长期在环境影响评价岗位上工作，并符合下列条件之一的，可免试《环境影响评价技术导则与标准》和《环境影响评价技术方法》2个科目，只参加《环境影响评价相关法律法规》和《环境影响评价案例分析》2个科目的考试：</w:t>
            </w:r>
          </w:p>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1．受聘担任工程类高级专业技术职务满3年，累计从事环境影响评价相关业务工作满15年。</w:t>
            </w:r>
          </w:p>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2．受聘担任工程类高级专业技术职务，并取得环保总局核发的“环境影响评价上岗培训合格证书”。</w:t>
            </w:r>
          </w:p>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二、环境影响评价工程师职业资格考试成绩实行2年为一个周期的滚动管理办法。参加全部4个科目考试的人员必须在连续2个考试年度内通过全部考试科目为合格；符合免试条件，参加2个科目考试的，必须当年成绩全部通过为合格。</w:t>
            </w:r>
          </w:p>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三、通过全国统一考试，取得资格证书的人员，可聘任工程师职务。</w:t>
            </w:r>
          </w:p>
        </w:tc>
      </w:tr>
      <w:tr w:rsidR="00174E06" w:rsidRPr="00174E06">
        <w:trPr>
          <w:tblCellSpacing w:w="0" w:type="dxa"/>
        </w:trPr>
        <w:tc>
          <w:tcPr>
            <w:tcW w:w="1350" w:type="dxa"/>
            <w:vMerge w:val="restart"/>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b/>
                <w:bCs/>
                <w:color w:val="auto"/>
                <w:kern w:val="0"/>
                <w:sz w:val="18"/>
                <w:szCs w:val="18"/>
              </w:rPr>
              <w:t>监理工程师</w:t>
            </w:r>
          </w:p>
        </w:tc>
        <w:tc>
          <w:tcPr>
            <w:tcW w:w="2925" w:type="dxa"/>
            <w:gridSpan w:val="4"/>
            <w:vMerge w:val="restart"/>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取得工程技术或工程经济中级职称</w:t>
            </w:r>
          </w:p>
        </w:tc>
        <w:tc>
          <w:tcPr>
            <w:tcW w:w="1755"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1970年前中专</w:t>
            </w:r>
          </w:p>
        </w:tc>
        <w:tc>
          <w:tcPr>
            <w:tcW w:w="3495" w:type="dxa"/>
            <w:gridSpan w:val="2"/>
            <w:vMerge w:val="restart"/>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中级职称任职满3年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gridSpan w:val="4"/>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1755"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大专</w:t>
            </w: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2925" w:type="dxa"/>
            <w:gridSpan w:val="4"/>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取得工程技术或工程经济高级职称</w:t>
            </w:r>
          </w:p>
        </w:tc>
        <w:tc>
          <w:tcPr>
            <w:tcW w:w="1755"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不限</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不限</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8175" w:type="dxa"/>
            <w:gridSpan w:val="7"/>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一、符合有关报名条件，同时具备下列4项条件者，可免试《建设工程合同管理》和《建设工程质量、投资、进度控制》2个科目，只参加《建设工程监理基本理论与相关法规》、《建设工程监理案例分析》2个科目的考试：</w:t>
            </w:r>
          </w:p>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1. 1970年以前（含1970年）工程技术或工程经济专业中专以上（含中专）毕业；</w:t>
            </w:r>
          </w:p>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2. 取得工程技术或工程经济高级专业技术职务；</w:t>
            </w:r>
          </w:p>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3. 从事工程设计或工程施工管理工作满15年；</w:t>
            </w:r>
          </w:p>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4. 从事监理工作满1年。</w:t>
            </w:r>
          </w:p>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二、监理工程师执业资格考试成绩实行2年为一个周期的滚动管理办法。参加4个科目考试的，必须在连续2个考试年度内通过全部考试科目为合格。参加2个科目考试的，必须当年成绩全部通过为合格。</w:t>
            </w:r>
          </w:p>
        </w:tc>
      </w:tr>
      <w:tr w:rsidR="00174E06" w:rsidRPr="00174E06">
        <w:trPr>
          <w:tblCellSpacing w:w="0" w:type="dxa"/>
        </w:trPr>
        <w:tc>
          <w:tcPr>
            <w:tcW w:w="1350" w:type="dxa"/>
            <w:vMerge w:val="restart"/>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b/>
                <w:bCs/>
                <w:color w:val="auto"/>
                <w:kern w:val="0"/>
                <w:sz w:val="18"/>
                <w:szCs w:val="18"/>
              </w:rPr>
              <w:t>广告专业</w:t>
            </w:r>
          </w:p>
          <w:p w:rsidR="00174E06" w:rsidRPr="00174E06" w:rsidRDefault="00174E06" w:rsidP="00174E06">
            <w:pPr>
              <w:widowControl/>
              <w:jc w:val="center"/>
              <w:rPr>
                <w:rFonts w:hAnsi="宋体" w:cs="宋体"/>
                <w:color w:val="auto"/>
                <w:kern w:val="0"/>
                <w:sz w:val="18"/>
                <w:szCs w:val="18"/>
              </w:rPr>
            </w:pPr>
            <w:r w:rsidRPr="00174E06">
              <w:rPr>
                <w:rFonts w:hAnsi="宋体" w:cs="宋体"/>
                <w:b/>
                <w:bCs/>
                <w:color w:val="auto"/>
                <w:kern w:val="0"/>
                <w:sz w:val="18"/>
                <w:szCs w:val="18"/>
              </w:rPr>
              <w:t>技术人员</w:t>
            </w:r>
          </w:p>
        </w:tc>
        <w:tc>
          <w:tcPr>
            <w:tcW w:w="1095" w:type="dxa"/>
            <w:vMerge w:val="restart"/>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助理</w:t>
            </w:r>
          </w:p>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广告师</w:t>
            </w:r>
          </w:p>
        </w:tc>
        <w:tc>
          <w:tcPr>
            <w:tcW w:w="1440" w:type="dxa"/>
            <w:gridSpan w:val="2"/>
            <w:vMerge w:val="restart"/>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广告学专业</w:t>
            </w:r>
          </w:p>
        </w:tc>
        <w:tc>
          <w:tcPr>
            <w:tcW w:w="2520" w:type="dxa"/>
            <w:gridSpan w:val="3"/>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中专</w:t>
            </w:r>
          </w:p>
        </w:tc>
        <w:tc>
          <w:tcPr>
            <w:tcW w:w="312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从事广告专业工作满4年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2520" w:type="dxa"/>
            <w:gridSpan w:val="3"/>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大专</w:t>
            </w:r>
          </w:p>
        </w:tc>
        <w:tc>
          <w:tcPr>
            <w:tcW w:w="312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从事广告专业工作满2年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2520" w:type="dxa"/>
            <w:gridSpan w:val="3"/>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大学本科应届毕业生</w:t>
            </w:r>
          </w:p>
        </w:tc>
        <w:tc>
          <w:tcPr>
            <w:tcW w:w="312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学生证和学校应届毕业生证明</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2520" w:type="dxa"/>
            <w:gridSpan w:val="3"/>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本科及以上</w:t>
            </w:r>
          </w:p>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学历或学位</w:t>
            </w:r>
          </w:p>
        </w:tc>
        <w:tc>
          <w:tcPr>
            <w:tcW w:w="312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不限</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7080" w:type="dxa"/>
            <w:gridSpan w:val="6"/>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取得其他专业中专及以上学历，其从事广告专业工作相应增加 2年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1095" w:type="dxa"/>
            <w:vMerge w:val="restart"/>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广告师</w:t>
            </w:r>
          </w:p>
        </w:tc>
        <w:tc>
          <w:tcPr>
            <w:tcW w:w="1440" w:type="dxa"/>
            <w:gridSpan w:val="2"/>
            <w:vMerge w:val="restart"/>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广告学专业</w:t>
            </w:r>
          </w:p>
        </w:tc>
        <w:tc>
          <w:tcPr>
            <w:tcW w:w="2520" w:type="dxa"/>
            <w:gridSpan w:val="3"/>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大专</w:t>
            </w:r>
          </w:p>
        </w:tc>
        <w:tc>
          <w:tcPr>
            <w:tcW w:w="312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从事广告专业工作满6年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2520" w:type="dxa"/>
            <w:gridSpan w:val="3"/>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本科</w:t>
            </w:r>
          </w:p>
        </w:tc>
        <w:tc>
          <w:tcPr>
            <w:tcW w:w="312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从事广告专业工作满4年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2520" w:type="dxa"/>
            <w:gridSpan w:val="3"/>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含广告学专业</w:t>
            </w:r>
          </w:p>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在内的双学士学位或者广告学专业研究生班毕业</w:t>
            </w:r>
          </w:p>
        </w:tc>
        <w:tc>
          <w:tcPr>
            <w:tcW w:w="312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从事广告专业工作满2年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2520" w:type="dxa"/>
            <w:gridSpan w:val="3"/>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取得广告学专业硕士学位</w:t>
            </w:r>
          </w:p>
        </w:tc>
        <w:tc>
          <w:tcPr>
            <w:tcW w:w="312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从事广告专业工作满1年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2520" w:type="dxa"/>
            <w:gridSpan w:val="3"/>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取得广告学专业博士学位</w:t>
            </w:r>
          </w:p>
        </w:tc>
        <w:tc>
          <w:tcPr>
            <w:tcW w:w="3120" w:type="dxa"/>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不限</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7080" w:type="dxa"/>
            <w:gridSpan w:val="6"/>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取得其他专业上述学历或者学位，其从事广告专业工作年限相应增加2年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8175" w:type="dxa"/>
            <w:gridSpan w:val="7"/>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   1、助理广告师和广告师考试均须在一个考试年度内通过相应级别全部科目的考试，方可获得本级别职业水平证书。</w:t>
            </w:r>
          </w:p>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2、通过考试取得助理广告师、广告师职业水平证书的人员，可聘任助理经济师、经济师专业技术职务。</w:t>
            </w:r>
          </w:p>
        </w:tc>
      </w:tr>
      <w:tr w:rsidR="00174E06" w:rsidRPr="00174E06">
        <w:trPr>
          <w:tblCellSpacing w:w="0" w:type="dxa"/>
        </w:trPr>
        <w:tc>
          <w:tcPr>
            <w:tcW w:w="1350" w:type="dxa"/>
            <w:vMerge w:val="restart"/>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b/>
                <w:bCs/>
                <w:color w:val="auto"/>
                <w:kern w:val="0"/>
                <w:sz w:val="18"/>
                <w:szCs w:val="18"/>
              </w:rPr>
              <w:t>注册税务师</w:t>
            </w:r>
          </w:p>
        </w:tc>
        <w:tc>
          <w:tcPr>
            <w:tcW w:w="2535" w:type="dxa"/>
            <w:gridSpan w:val="3"/>
            <w:vMerge w:val="restart"/>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经济、法学类专业</w:t>
            </w:r>
          </w:p>
        </w:tc>
        <w:tc>
          <w:tcPr>
            <w:tcW w:w="214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专科</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从事经济、法律工作满6年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gridSpan w:val="3"/>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214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本科</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从事经济、法律工作满4年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gridSpan w:val="3"/>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214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双学士或</w:t>
            </w:r>
          </w:p>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研究生班</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从事经济、法律工作满2年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gridSpan w:val="3"/>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214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硕士学位</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从事经济、法律工作满1年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gridSpan w:val="3"/>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214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博士学位</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不限</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2535" w:type="dxa"/>
            <w:gridSpan w:val="3"/>
            <w:vMerge w:val="restart"/>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非经济、法学类专业</w:t>
            </w:r>
          </w:p>
        </w:tc>
        <w:tc>
          <w:tcPr>
            <w:tcW w:w="214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专科</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从事经济、法律工作满8年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gridSpan w:val="3"/>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214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本科</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从事经济、法律工作满6年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gridSpan w:val="3"/>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214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第二学士学位</w:t>
            </w:r>
          </w:p>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或研究生班</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从事经济、法律工作满4年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0" w:type="auto"/>
            <w:gridSpan w:val="3"/>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214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center"/>
              <w:rPr>
                <w:rFonts w:hAnsi="宋体" w:cs="宋体"/>
                <w:color w:val="auto"/>
                <w:kern w:val="0"/>
                <w:sz w:val="18"/>
                <w:szCs w:val="18"/>
              </w:rPr>
            </w:pPr>
            <w:r w:rsidRPr="00174E06">
              <w:rPr>
                <w:rFonts w:hAnsi="宋体" w:cs="宋体"/>
                <w:color w:val="auto"/>
                <w:kern w:val="0"/>
                <w:sz w:val="18"/>
                <w:szCs w:val="18"/>
              </w:rPr>
              <w:t>硕士学位</w:t>
            </w:r>
          </w:p>
        </w:tc>
        <w:tc>
          <w:tcPr>
            <w:tcW w:w="3495" w:type="dxa"/>
            <w:gridSpan w:val="2"/>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从事经济、法律工作满2年</w:t>
            </w:r>
          </w:p>
        </w:tc>
      </w:tr>
      <w:tr w:rsidR="00174E06" w:rsidRPr="00174E0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4E06" w:rsidRPr="00174E06" w:rsidRDefault="00174E06" w:rsidP="00174E06">
            <w:pPr>
              <w:widowControl/>
              <w:jc w:val="left"/>
              <w:rPr>
                <w:rFonts w:hAnsi="宋体" w:cs="宋体"/>
                <w:color w:val="auto"/>
                <w:kern w:val="0"/>
                <w:sz w:val="18"/>
                <w:szCs w:val="18"/>
              </w:rPr>
            </w:pPr>
          </w:p>
        </w:tc>
        <w:tc>
          <w:tcPr>
            <w:tcW w:w="8175" w:type="dxa"/>
            <w:gridSpan w:val="7"/>
            <w:tcBorders>
              <w:top w:val="outset" w:sz="6" w:space="0" w:color="auto"/>
              <w:left w:val="outset" w:sz="6" w:space="0" w:color="auto"/>
              <w:bottom w:val="outset" w:sz="6" w:space="0" w:color="auto"/>
              <w:right w:val="outset" w:sz="6" w:space="0" w:color="auto"/>
            </w:tcBorders>
            <w:hideMark/>
          </w:tcPr>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1、取得经济、会计、统计、审计专业中级专业技术资格者，从事税务代理业务满1年，可报名参加注册税务师全部科目的考试。</w:t>
            </w:r>
            <w:r w:rsidRPr="00174E06">
              <w:rPr>
                <w:rFonts w:hAnsi="宋体" w:cs="宋体" w:hint="eastAsia"/>
                <w:color w:val="auto"/>
                <w:kern w:val="0"/>
                <w:sz w:val="18"/>
                <w:szCs w:val="18"/>
              </w:rPr>
              <w:t></w:t>
            </w:r>
          </w:p>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2、符合有关报名条件，已评聘经济、会计、统计、审计、法律等高级专业技术职务，并从事税收工作满</w:t>
            </w:r>
            <w:r w:rsidRPr="00174E06">
              <w:rPr>
                <w:rFonts w:hAnsi="宋体" w:cs="宋体"/>
                <w:color w:val="auto"/>
                <w:kern w:val="0"/>
                <w:sz w:val="18"/>
                <w:szCs w:val="18"/>
              </w:rPr>
              <w:lastRenderedPageBreak/>
              <w:t>2年的人员，可免试《税法（一）》、《税法（二）》和《财务与会计》3个科目的考试。只参加《税务代理实务》、《税收相关法律》2个科目的考试。</w:t>
            </w:r>
          </w:p>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3、港、澳、台居民参加税务师执业资格考试的，需按规定条件报名。</w:t>
            </w:r>
          </w:p>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4、注册税务师执业资格考试成绩实行3年为一个周期的滚动管理办法。参加5个科目考试的，必须在连续3个考试年度内通过全部考试科目为合格；当年考试有部分科目成绩合格，其合格成绩保留至下2个年度。符合免试条件，参加2个科目考试的，必须在当年成绩全部通过为合格。</w:t>
            </w:r>
          </w:p>
          <w:p w:rsidR="00174E06" w:rsidRPr="00174E06" w:rsidRDefault="00174E06" w:rsidP="00174E06">
            <w:pPr>
              <w:widowControl/>
              <w:jc w:val="left"/>
              <w:rPr>
                <w:rFonts w:hAnsi="宋体" w:cs="宋体"/>
                <w:color w:val="auto"/>
                <w:kern w:val="0"/>
                <w:sz w:val="18"/>
                <w:szCs w:val="18"/>
              </w:rPr>
            </w:pPr>
            <w:r w:rsidRPr="00174E06">
              <w:rPr>
                <w:rFonts w:hAnsi="宋体" w:cs="宋体"/>
                <w:color w:val="auto"/>
                <w:kern w:val="0"/>
                <w:sz w:val="18"/>
                <w:szCs w:val="18"/>
              </w:rPr>
              <w:t>5、通过考试取得资格证书人员，可聘任经济师职务。</w:t>
            </w:r>
          </w:p>
        </w:tc>
      </w:tr>
    </w:tbl>
    <w:p w:rsidR="00AA3BF9" w:rsidRDefault="00AA3BF9">
      <w:pPr>
        <w:rPr>
          <w:rFonts w:hint="eastAsia"/>
        </w:rPr>
      </w:pPr>
    </w:p>
    <w:sectPr w:rsidR="00AA3BF9" w:rsidSect="00AA3BF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74E06"/>
    <w:rsid w:val="00174E06"/>
    <w:rsid w:val="00AA3BF9"/>
    <w:rsid w:val="00C269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宋体" w:eastAsia="宋体" w:hAnsiTheme="minorHAnsi" w:cstheme="minorBidi"/>
        <w:color w:val="FF0000"/>
        <w:kern w:val="2"/>
        <w:sz w:val="28"/>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BF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85214695">
      <w:bodyDiv w:val="1"/>
      <w:marLeft w:val="0"/>
      <w:marRight w:val="0"/>
      <w:marTop w:val="0"/>
      <w:marBottom w:val="0"/>
      <w:divBdr>
        <w:top w:val="none" w:sz="0" w:space="0" w:color="auto"/>
        <w:left w:val="none" w:sz="0" w:space="0" w:color="auto"/>
        <w:bottom w:val="none" w:sz="0" w:space="0" w:color="auto"/>
        <w:right w:val="none" w:sz="0" w:space="0" w:color="auto"/>
      </w:divBdr>
      <w:divsChild>
        <w:div w:id="930819982">
          <w:marLeft w:val="0"/>
          <w:marRight w:val="0"/>
          <w:marTop w:val="0"/>
          <w:marBottom w:val="0"/>
          <w:divBdr>
            <w:top w:val="none" w:sz="0" w:space="0" w:color="auto"/>
            <w:left w:val="none" w:sz="0" w:space="0" w:color="auto"/>
            <w:bottom w:val="none" w:sz="0" w:space="0" w:color="auto"/>
            <w:right w:val="none" w:sz="0" w:space="0" w:color="auto"/>
          </w:divBdr>
        </w:div>
        <w:div w:id="1686975140">
          <w:marLeft w:val="0"/>
          <w:marRight w:val="0"/>
          <w:marTop w:val="0"/>
          <w:marBottom w:val="0"/>
          <w:divBdr>
            <w:top w:val="none" w:sz="0" w:space="0" w:color="auto"/>
            <w:left w:val="none" w:sz="0" w:space="0" w:color="auto"/>
            <w:bottom w:val="none" w:sz="0" w:space="0" w:color="auto"/>
            <w:right w:val="none" w:sz="0" w:space="0" w:color="auto"/>
          </w:divBdr>
        </w:div>
        <w:div w:id="1210335729">
          <w:marLeft w:val="0"/>
          <w:marRight w:val="0"/>
          <w:marTop w:val="0"/>
          <w:marBottom w:val="0"/>
          <w:divBdr>
            <w:top w:val="none" w:sz="0" w:space="0" w:color="auto"/>
            <w:left w:val="none" w:sz="0" w:space="0" w:color="auto"/>
            <w:bottom w:val="none" w:sz="0" w:space="0" w:color="auto"/>
            <w:right w:val="none" w:sz="0" w:space="0" w:color="auto"/>
          </w:divBdr>
        </w:div>
        <w:div w:id="1196580842">
          <w:marLeft w:val="0"/>
          <w:marRight w:val="0"/>
          <w:marTop w:val="0"/>
          <w:marBottom w:val="0"/>
          <w:divBdr>
            <w:top w:val="none" w:sz="0" w:space="0" w:color="auto"/>
            <w:left w:val="none" w:sz="0" w:space="0" w:color="auto"/>
            <w:bottom w:val="none" w:sz="0" w:space="0" w:color="auto"/>
            <w:right w:val="none" w:sz="0" w:space="0" w:color="auto"/>
          </w:divBdr>
        </w:div>
        <w:div w:id="911038865">
          <w:marLeft w:val="0"/>
          <w:marRight w:val="0"/>
          <w:marTop w:val="0"/>
          <w:marBottom w:val="0"/>
          <w:divBdr>
            <w:top w:val="none" w:sz="0" w:space="0" w:color="auto"/>
            <w:left w:val="none" w:sz="0" w:space="0" w:color="auto"/>
            <w:bottom w:val="none" w:sz="0" w:space="0" w:color="auto"/>
            <w:right w:val="none" w:sz="0" w:space="0" w:color="auto"/>
          </w:divBdr>
        </w:div>
        <w:div w:id="622424663">
          <w:marLeft w:val="0"/>
          <w:marRight w:val="0"/>
          <w:marTop w:val="0"/>
          <w:marBottom w:val="0"/>
          <w:divBdr>
            <w:top w:val="none" w:sz="0" w:space="0" w:color="auto"/>
            <w:left w:val="none" w:sz="0" w:space="0" w:color="auto"/>
            <w:bottom w:val="none" w:sz="0" w:space="0" w:color="auto"/>
            <w:right w:val="none" w:sz="0" w:space="0" w:color="auto"/>
          </w:divBdr>
        </w:div>
        <w:div w:id="251161299">
          <w:marLeft w:val="0"/>
          <w:marRight w:val="0"/>
          <w:marTop w:val="0"/>
          <w:marBottom w:val="0"/>
          <w:divBdr>
            <w:top w:val="none" w:sz="0" w:space="0" w:color="auto"/>
            <w:left w:val="none" w:sz="0" w:space="0" w:color="auto"/>
            <w:bottom w:val="none" w:sz="0" w:space="0" w:color="auto"/>
            <w:right w:val="none" w:sz="0" w:space="0" w:color="auto"/>
          </w:divBdr>
        </w:div>
        <w:div w:id="1373648141">
          <w:marLeft w:val="0"/>
          <w:marRight w:val="0"/>
          <w:marTop w:val="0"/>
          <w:marBottom w:val="0"/>
          <w:divBdr>
            <w:top w:val="none" w:sz="0" w:space="0" w:color="auto"/>
            <w:left w:val="none" w:sz="0" w:space="0" w:color="auto"/>
            <w:bottom w:val="none" w:sz="0" w:space="0" w:color="auto"/>
            <w:right w:val="none" w:sz="0" w:space="0" w:color="auto"/>
          </w:divBdr>
        </w:div>
        <w:div w:id="996960518">
          <w:marLeft w:val="0"/>
          <w:marRight w:val="0"/>
          <w:marTop w:val="0"/>
          <w:marBottom w:val="0"/>
          <w:divBdr>
            <w:top w:val="none" w:sz="0" w:space="0" w:color="auto"/>
            <w:left w:val="none" w:sz="0" w:space="0" w:color="auto"/>
            <w:bottom w:val="none" w:sz="0" w:space="0" w:color="auto"/>
            <w:right w:val="none" w:sz="0" w:space="0" w:color="auto"/>
          </w:divBdr>
        </w:div>
        <w:div w:id="1073117884">
          <w:marLeft w:val="0"/>
          <w:marRight w:val="0"/>
          <w:marTop w:val="0"/>
          <w:marBottom w:val="0"/>
          <w:divBdr>
            <w:top w:val="none" w:sz="0" w:space="0" w:color="auto"/>
            <w:left w:val="none" w:sz="0" w:space="0" w:color="auto"/>
            <w:bottom w:val="none" w:sz="0" w:space="0" w:color="auto"/>
            <w:right w:val="none" w:sz="0" w:space="0" w:color="auto"/>
          </w:divBdr>
        </w:div>
        <w:div w:id="713388825">
          <w:marLeft w:val="0"/>
          <w:marRight w:val="0"/>
          <w:marTop w:val="0"/>
          <w:marBottom w:val="0"/>
          <w:divBdr>
            <w:top w:val="none" w:sz="0" w:space="0" w:color="auto"/>
            <w:left w:val="none" w:sz="0" w:space="0" w:color="auto"/>
            <w:bottom w:val="none" w:sz="0" w:space="0" w:color="auto"/>
            <w:right w:val="none" w:sz="0" w:space="0" w:color="auto"/>
          </w:divBdr>
        </w:div>
        <w:div w:id="861894958">
          <w:marLeft w:val="0"/>
          <w:marRight w:val="0"/>
          <w:marTop w:val="0"/>
          <w:marBottom w:val="0"/>
          <w:divBdr>
            <w:top w:val="none" w:sz="0" w:space="0" w:color="auto"/>
            <w:left w:val="none" w:sz="0" w:space="0" w:color="auto"/>
            <w:bottom w:val="none" w:sz="0" w:space="0" w:color="auto"/>
            <w:right w:val="none" w:sz="0" w:space="0" w:color="auto"/>
          </w:divBdr>
        </w:div>
        <w:div w:id="48770615">
          <w:marLeft w:val="0"/>
          <w:marRight w:val="0"/>
          <w:marTop w:val="0"/>
          <w:marBottom w:val="0"/>
          <w:divBdr>
            <w:top w:val="none" w:sz="0" w:space="0" w:color="auto"/>
            <w:left w:val="none" w:sz="0" w:space="0" w:color="auto"/>
            <w:bottom w:val="none" w:sz="0" w:space="0" w:color="auto"/>
            <w:right w:val="none" w:sz="0" w:space="0" w:color="auto"/>
          </w:divBdr>
        </w:div>
        <w:div w:id="232814687">
          <w:marLeft w:val="0"/>
          <w:marRight w:val="0"/>
          <w:marTop w:val="0"/>
          <w:marBottom w:val="0"/>
          <w:divBdr>
            <w:top w:val="none" w:sz="0" w:space="0" w:color="auto"/>
            <w:left w:val="none" w:sz="0" w:space="0" w:color="auto"/>
            <w:bottom w:val="none" w:sz="0" w:space="0" w:color="auto"/>
            <w:right w:val="none" w:sz="0" w:space="0" w:color="auto"/>
          </w:divBdr>
        </w:div>
        <w:div w:id="2109766298">
          <w:marLeft w:val="0"/>
          <w:marRight w:val="0"/>
          <w:marTop w:val="0"/>
          <w:marBottom w:val="0"/>
          <w:divBdr>
            <w:top w:val="none" w:sz="0" w:space="0" w:color="auto"/>
            <w:left w:val="none" w:sz="0" w:space="0" w:color="auto"/>
            <w:bottom w:val="none" w:sz="0" w:space="0" w:color="auto"/>
            <w:right w:val="none" w:sz="0" w:space="0" w:color="auto"/>
          </w:divBdr>
        </w:div>
        <w:div w:id="82726818">
          <w:marLeft w:val="0"/>
          <w:marRight w:val="0"/>
          <w:marTop w:val="0"/>
          <w:marBottom w:val="0"/>
          <w:divBdr>
            <w:top w:val="none" w:sz="0" w:space="0" w:color="auto"/>
            <w:left w:val="none" w:sz="0" w:space="0" w:color="auto"/>
            <w:bottom w:val="none" w:sz="0" w:space="0" w:color="auto"/>
            <w:right w:val="none" w:sz="0" w:space="0" w:color="auto"/>
          </w:divBdr>
        </w:div>
        <w:div w:id="376852682">
          <w:marLeft w:val="0"/>
          <w:marRight w:val="0"/>
          <w:marTop w:val="0"/>
          <w:marBottom w:val="0"/>
          <w:divBdr>
            <w:top w:val="none" w:sz="0" w:space="0" w:color="auto"/>
            <w:left w:val="none" w:sz="0" w:space="0" w:color="auto"/>
            <w:bottom w:val="none" w:sz="0" w:space="0" w:color="auto"/>
            <w:right w:val="none" w:sz="0" w:space="0" w:color="auto"/>
          </w:divBdr>
        </w:div>
        <w:div w:id="1993483455">
          <w:marLeft w:val="0"/>
          <w:marRight w:val="0"/>
          <w:marTop w:val="0"/>
          <w:marBottom w:val="0"/>
          <w:divBdr>
            <w:top w:val="none" w:sz="0" w:space="0" w:color="auto"/>
            <w:left w:val="none" w:sz="0" w:space="0" w:color="auto"/>
            <w:bottom w:val="none" w:sz="0" w:space="0" w:color="auto"/>
            <w:right w:val="none" w:sz="0" w:space="0" w:color="auto"/>
          </w:divBdr>
        </w:div>
        <w:div w:id="1105341539">
          <w:marLeft w:val="0"/>
          <w:marRight w:val="0"/>
          <w:marTop w:val="0"/>
          <w:marBottom w:val="0"/>
          <w:divBdr>
            <w:top w:val="none" w:sz="0" w:space="0" w:color="auto"/>
            <w:left w:val="none" w:sz="0" w:space="0" w:color="auto"/>
            <w:bottom w:val="none" w:sz="0" w:space="0" w:color="auto"/>
            <w:right w:val="none" w:sz="0" w:space="0" w:color="auto"/>
          </w:divBdr>
        </w:div>
        <w:div w:id="1804150232">
          <w:marLeft w:val="0"/>
          <w:marRight w:val="0"/>
          <w:marTop w:val="0"/>
          <w:marBottom w:val="0"/>
          <w:divBdr>
            <w:top w:val="none" w:sz="0" w:space="0" w:color="auto"/>
            <w:left w:val="none" w:sz="0" w:space="0" w:color="auto"/>
            <w:bottom w:val="none" w:sz="0" w:space="0" w:color="auto"/>
            <w:right w:val="none" w:sz="0" w:space="0" w:color="auto"/>
          </w:divBdr>
        </w:div>
        <w:div w:id="1719084603">
          <w:marLeft w:val="0"/>
          <w:marRight w:val="0"/>
          <w:marTop w:val="0"/>
          <w:marBottom w:val="0"/>
          <w:divBdr>
            <w:top w:val="none" w:sz="0" w:space="0" w:color="auto"/>
            <w:left w:val="none" w:sz="0" w:space="0" w:color="auto"/>
            <w:bottom w:val="none" w:sz="0" w:space="0" w:color="auto"/>
            <w:right w:val="none" w:sz="0" w:space="0" w:color="auto"/>
          </w:divBdr>
        </w:div>
        <w:div w:id="1016617656">
          <w:marLeft w:val="0"/>
          <w:marRight w:val="0"/>
          <w:marTop w:val="0"/>
          <w:marBottom w:val="0"/>
          <w:divBdr>
            <w:top w:val="none" w:sz="0" w:space="0" w:color="auto"/>
            <w:left w:val="none" w:sz="0" w:space="0" w:color="auto"/>
            <w:bottom w:val="none" w:sz="0" w:space="0" w:color="auto"/>
            <w:right w:val="none" w:sz="0" w:space="0" w:color="auto"/>
          </w:divBdr>
        </w:div>
        <w:div w:id="1579441757">
          <w:marLeft w:val="0"/>
          <w:marRight w:val="0"/>
          <w:marTop w:val="0"/>
          <w:marBottom w:val="0"/>
          <w:divBdr>
            <w:top w:val="none" w:sz="0" w:space="0" w:color="auto"/>
            <w:left w:val="none" w:sz="0" w:space="0" w:color="auto"/>
            <w:bottom w:val="none" w:sz="0" w:space="0" w:color="auto"/>
            <w:right w:val="none" w:sz="0" w:space="0" w:color="auto"/>
          </w:divBdr>
        </w:div>
        <w:div w:id="854536524">
          <w:marLeft w:val="0"/>
          <w:marRight w:val="0"/>
          <w:marTop w:val="0"/>
          <w:marBottom w:val="0"/>
          <w:divBdr>
            <w:top w:val="none" w:sz="0" w:space="0" w:color="auto"/>
            <w:left w:val="none" w:sz="0" w:space="0" w:color="auto"/>
            <w:bottom w:val="none" w:sz="0" w:space="0" w:color="auto"/>
            <w:right w:val="none" w:sz="0" w:space="0" w:color="auto"/>
          </w:divBdr>
        </w:div>
        <w:div w:id="1442840774">
          <w:marLeft w:val="0"/>
          <w:marRight w:val="0"/>
          <w:marTop w:val="0"/>
          <w:marBottom w:val="0"/>
          <w:divBdr>
            <w:top w:val="none" w:sz="0" w:space="0" w:color="auto"/>
            <w:left w:val="none" w:sz="0" w:space="0" w:color="auto"/>
            <w:bottom w:val="none" w:sz="0" w:space="0" w:color="auto"/>
            <w:right w:val="none" w:sz="0" w:space="0" w:color="auto"/>
          </w:divBdr>
        </w:div>
        <w:div w:id="943803798">
          <w:marLeft w:val="0"/>
          <w:marRight w:val="0"/>
          <w:marTop w:val="0"/>
          <w:marBottom w:val="0"/>
          <w:divBdr>
            <w:top w:val="none" w:sz="0" w:space="0" w:color="auto"/>
            <w:left w:val="none" w:sz="0" w:space="0" w:color="auto"/>
            <w:bottom w:val="none" w:sz="0" w:space="0" w:color="auto"/>
            <w:right w:val="none" w:sz="0" w:space="0" w:color="auto"/>
          </w:divBdr>
        </w:div>
        <w:div w:id="606959750">
          <w:marLeft w:val="0"/>
          <w:marRight w:val="0"/>
          <w:marTop w:val="0"/>
          <w:marBottom w:val="0"/>
          <w:divBdr>
            <w:top w:val="none" w:sz="0" w:space="0" w:color="auto"/>
            <w:left w:val="none" w:sz="0" w:space="0" w:color="auto"/>
            <w:bottom w:val="none" w:sz="0" w:space="0" w:color="auto"/>
            <w:right w:val="none" w:sz="0" w:space="0" w:color="auto"/>
          </w:divBdr>
        </w:div>
        <w:div w:id="1477067371">
          <w:marLeft w:val="0"/>
          <w:marRight w:val="0"/>
          <w:marTop w:val="0"/>
          <w:marBottom w:val="0"/>
          <w:divBdr>
            <w:top w:val="none" w:sz="0" w:space="0" w:color="auto"/>
            <w:left w:val="none" w:sz="0" w:space="0" w:color="auto"/>
            <w:bottom w:val="none" w:sz="0" w:space="0" w:color="auto"/>
            <w:right w:val="none" w:sz="0" w:space="0" w:color="auto"/>
          </w:divBdr>
        </w:div>
        <w:div w:id="540896378">
          <w:marLeft w:val="0"/>
          <w:marRight w:val="0"/>
          <w:marTop w:val="0"/>
          <w:marBottom w:val="0"/>
          <w:divBdr>
            <w:top w:val="none" w:sz="0" w:space="0" w:color="auto"/>
            <w:left w:val="none" w:sz="0" w:space="0" w:color="auto"/>
            <w:bottom w:val="none" w:sz="0" w:space="0" w:color="auto"/>
            <w:right w:val="none" w:sz="0" w:space="0" w:color="auto"/>
          </w:divBdr>
        </w:div>
        <w:div w:id="928973963">
          <w:marLeft w:val="0"/>
          <w:marRight w:val="0"/>
          <w:marTop w:val="0"/>
          <w:marBottom w:val="0"/>
          <w:divBdr>
            <w:top w:val="none" w:sz="0" w:space="0" w:color="auto"/>
            <w:left w:val="none" w:sz="0" w:space="0" w:color="auto"/>
            <w:bottom w:val="none" w:sz="0" w:space="0" w:color="auto"/>
            <w:right w:val="none" w:sz="0" w:space="0" w:color="auto"/>
          </w:divBdr>
        </w:div>
        <w:div w:id="1492479901">
          <w:marLeft w:val="0"/>
          <w:marRight w:val="0"/>
          <w:marTop w:val="0"/>
          <w:marBottom w:val="0"/>
          <w:divBdr>
            <w:top w:val="none" w:sz="0" w:space="0" w:color="auto"/>
            <w:left w:val="none" w:sz="0" w:space="0" w:color="auto"/>
            <w:bottom w:val="none" w:sz="0" w:space="0" w:color="auto"/>
            <w:right w:val="none" w:sz="0" w:space="0" w:color="auto"/>
          </w:divBdr>
        </w:div>
        <w:div w:id="281112827">
          <w:marLeft w:val="0"/>
          <w:marRight w:val="0"/>
          <w:marTop w:val="0"/>
          <w:marBottom w:val="0"/>
          <w:divBdr>
            <w:top w:val="none" w:sz="0" w:space="0" w:color="auto"/>
            <w:left w:val="none" w:sz="0" w:space="0" w:color="auto"/>
            <w:bottom w:val="none" w:sz="0" w:space="0" w:color="auto"/>
            <w:right w:val="none" w:sz="0" w:space="0" w:color="auto"/>
          </w:divBdr>
        </w:div>
        <w:div w:id="2135757739">
          <w:marLeft w:val="0"/>
          <w:marRight w:val="0"/>
          <w:marTop w:val="0"/>
          <w:marBottom w:val="0"/>
          <w:divBdr>
            <w:top w:val="none" w:sz="0" w:space="0" w:color="auto"/>
            <w:left w:val="none" w:sz="0" w:space="0" w:color="auto"/>
            <w:bottom w:val="none" w:sz="0" w:space="0" w:color="auto"/>
            <w:right w:val="none" w:sz="0" w:space="0" w:color="auto"/>
          </w:divBdr>
        </w:div>
        <w:div w:id="143938050">
          <w:marLeft w:val="0"/>
          <w:marRight w:val="0"/>
          <w:marTop w:val="0"/>
          <w:marBottom w:val="0"/>
          <w:divBdr>
            <w:top w:val="none" w:sz="0" w:space="0" w:color="auto"/>
            <w:left w:val="none" w:sz="0" w:space="0" w:color="auto"/>
            <w:bottom w:val="none" w:sz="0" w:space="0" w:color="auto"/>
            <w:right w:val="none" w:sz="0" w:space="0" w:color="auto"/>
          </w:divBdr>
        </w:div>
        <w:div w:id="1054431831">
          <w:marLeft w:val="0"/>
          <w:marRight w:val="0"/>
          <w:marTop w:val="0"/>
          <w:marBottom w:val="0"/>
          <w:divBdr>
            <w:top w:val="none" w:sz="0" w:space="0" w:color="auto"/>
            <w:left w:val="none" w:sz="0" w:space="0" w:color="auto"/>
            <w:bottom w:val="none" w:sz="0" w:space="0" w:color="auto"/>
            <w:right w:val="none" w:sz="0" w:space="0" w:color="auto"/>
          </w:divBdr>
        </w:div>
        <w:div w:id="1661275382">
          <w:marLeft w:val="0"/>
          <w:marRight w:val="0"/>
          <w:marTop w:val="0"/>
          <w:marBottom w:val="0"/>
          <w:divBdr>
            <w:top w:val="none" w:sz="0" w:space="0" w:color="auto"/>
            <w:left w:val="none" w:sz="0" w:space="0" w:color="auto"/>
            <w:bottom w:val="none" w:sz="0" w:space="0" w:color="auto"/>
            <w:right w:val="none" w:sz="0" w:space="0" w:color="auto"/>
          </w:divBdr>
        </w:div>
        <w:div w:id="887955902">
          <w:marLeft w:val="0"/>
          <w:marRight w:val="0"/>
          <w:marTop w:val="0"/>
          <w:marBottom w:val="0"/>
          <w:divBdr>
            <w:top w:val="none" w:sz="0" w:space="0" w:color="auto"/>
            <w:left w:val="none" w:sz="0" w:space="0" w:color="auto"/>
            <w:bottom w:val="none" w:sz="0" w:space="0" w:color="auto"/>
            <w:right w:val="none" w:sz="0" w:space="0" w:color="auto"/>
          </w:divBdr>
        </w:div>
        <w:div w:id="261114635">
          <w:marLeft w:val="0"/>
          <w:marRight w:val="0"/>
          <w:marTop w:val="0"/>
          <w:marBottom w:val="0"/>
          <w:divBdr>
            <w:top w:val="none" w:sz="0" w:space="0" w:color="auto"/>
            <w:left w:val="none" w:sz="0" w:space="0" w:color="auto"/>
            <w:bottom w:val="none" w:sz="0" w:space="0" w:color="auto"/>
            <w:right w:val="none" w:sz="0" w:space="0" w:color="auto"/>
          </w:divBdr>
        </w:div>
        <w:div w:id="157042765">
          <w:marLeft w:val="0"/>
          <w:marRight w:val="0"/>
          <w:marTop w:val="0"/>
          <w:marBottom w:val="0"/>
          <w:divBdr>
            <w:top w:val="none" w:sz="0" w:space="0" w:color="auto"/>
            <w:left w:val="none" w:sz="0" w:space="0" w:color="auto"/>
            <w:bottom w:val="none" w:sz="0" w:space="0" w:color="auto"/>
            <w:right w:val="none" w:sz="0" w:space="0" w:color="auto"/>
          </w:divBdr>
        </w:div>
        <w:div w:id="1101074428">
          <w:marLeft w:val="0"/>
          <w:marRight w:val="0"/>
          <w:marTop w:val="0"/>
          <w:marBottom w:val="0"/>
          <w:divBdr>
            <w:top w:val="none" w:sz="0" w:space="0" w:color="auto"/>
            <w:left w:val="none" w:sz="0" w:space="0" w:color="auto"/>
            <w:bottom w:val="none" w:sz="0" w:space="0" w:color="auto"/>
            <w:right w:val="none" w:sz="0" w:space="0" w:color="auto"/>
          </w:divBdr>
        </w:div>
        <w:div w:id="1270309463">
          <w:marLeft w:val="0"/>
          <w:marRight w:val="0"/>
          <w:marTop w:val="0"/>
          <w:marBottom w:val="0"/>
          <w:divBdr>
            <w:top w:val="none" w:sz="0" w:space="0" w:color="auto"/>
            <w:left w:val="none" w:sz="0" w:space="0" w:color="auto"/>
            <w:bottom w:val="none" w:sz="0" w:space="0" w:color="auto"/>
            <w:right w:val="none" w:sz="0" w:space="0" w:color="auto"/>
          </w:divBdr>
        </w:div>
        <w:div w:id="1347631905">
          <w:marLeft w:val="0"/>
          <w:marRight w:val="0"/>
          <w:marTop w:val="0"/>
          <w:marBottom w:val="0"/>
          <w:divBdr>
            <w:top w:val="none" w:sz="0" w:space="0" w:color="auto"/>
            <w:left w:val="none" w:sz="0" w:space="0" w:color="auto"/>
            <w:bottom w:val="none" w:sz="0" w:space="0" w:color="auto"/>
            <w:right w:val="none" w:sz="0" w:space="0" w:color="auto"/>
          </w:divBdr>
        </w:div>
        <w:div w:id="2080782963">
          <w:marLeft w:val="0"/>
          <w:marRight w:val="0"/>
          <w:marTop w:val="0"/>
          <w:marBottom w:val="0"/>
          <w:divBdr>
            <w:top w:val="none" w:sz="0" w:space="0" w:color="auto"/>
            <w:left w:val="none" w:sz="0" w:space="0" w:color="auto"/>
            <w:bottom w:val="none" w:sz="0" w:space="0" w:color="auto"/>
            <w:right w:val="none" w:sz="0" w:space="0" w:color="auto"/>
          </w:divBdr>
        </w:div>
        <w:div w:id="1586525471">
          <w:marLeft w:val="0"/>
          <w:marRight w:val="0"/>
          <w:marTop w:val="0"/>
          <w:marBottom w:val="0"/>
          <w:divBdr>
            <w:top w:val="none" w:sz="0" w:space="0" w:color="auto"/>
            <w:left w:val="none" w:sz="0" w:space="0" w:color="auto"/>
            <w:bottom w:val="none" w:sz="0" w:space="0" w:color="auto"/>
            <w:right w:val="none" w:sz="0" w:space="0" w:color="auto"/>
          </w:divBdr>
        </w:div>
        <w:div w:id="1159923337">
          <w:marLeft w:val="0"/>
          <w:marRight w:val="0"/>
          <w:marTop w:val="0"/>
          <w:marBottom w:val="0"/>
          <w:divBdr>
            <w:top w:val="none" w:sz="0" w:space="0" w:color="auto"/>
            <w:left w:val="none" w:sz="0" w:space="0" w:color="auto"/>
            <w:bottom w:val="none" w:sz="0" w:space="0" w:color="auto"/>
            <w:right w:val="none" w:sz="0" w:space="0" w:color="auto"/>
          </w:divBdr>
        </w:div>
        <w:div w:id="946887857">
          <w:marLeft w:val="0"/>
          <w:marRight w:val="0"/>
          <w:marTop w:val="0"/>
          <w:marBottom w:val="0"/>
          <w:divBdr>
            <w:top w:val="none" w:sz="0" w:space="0" w:color="auto"/>
            <w:left w:val="none" w:sz="0" w:space="0" w:color="auto"/>
            <w:bottom w:val="none" w:sz="0" w:space="0" w:color="auto"/>
            <w:right w:val="none" w:sz="0" w:space="0" w:color="auto"/>
          </w:divBdr>
        </w:div>
        <w:div w:id="653876857">
          <w:marLeft w:val="0"/>
          <w:marRight w:val="0"/>
          <w:marTop w:val="0"/>
          <w:marBottom w:val="0"/>
          <w:divBdr>
            <w:top w:val="none" w:sz="0" w:space="0" w:color="auto"/>
            <w:left w:val="none" w:sz="0" w:space="0" w:color="auto"/>
            <w:bottom w:val="none" w:sz="0" w:space="0" w:color="auto"/>
            <w:right w:val="none" w:sz="0" w:space="0" w:color="auto"/>
          </w:divBdr>
        </w:div>
        <w:div w:id="1513959687">
          <w:marLeft w:val="0"/>
          <w:marRight w:val="0"/>
          <w:marTop w:val="0"/>
          <w:marBottom w:val="0"/>
          <w:divBdr>
            <w:top w:val="none" w:sz="0" w:space="0" w:color="auto"/>
            <w:left w:val="none" w:sz="0" w:space="0" w:color="auto"/>
            <w:bottom w:val="none" w:sz="0" w:space="0" w:color="auto"/>
            <w:right w:val="none" w:sz="0" w:space="0" w:color="auto"/>
          </w:divBdr>
        </w:div>
        <w:div w:id="1940720402">
          <w:marLeft w:val="0"/>
          <w:marRight w:val="0"/>
          <w:marTop w:val="0"/>
          <w:marBottom w:val="0"/>
          <w:divBdr>
            <w:top w:val="none" w:sz="0" w:space="0" w:color="auto"/>
            <w:left w:val="none" w:sz="0" w:space="0" w:color="auto"/>
            <w:bottom w:val="none" w:sz="0" w:space="0" w:color="auto"/>
            <w:right w:val="none" w:sz="0" w:space="0" w:color="auto"/>
          </w:divBdr>
        </w:div>
        <w:div w:id="1052969465">
          <w:marLeft w:val="0"/>
          <w:marRight w:val="0"/>
          <w:marTop w:val="0"/>
          <w:marBottom w:val="0"/>
          <w:divBdr>
            <w:top w:val="none" w:sz="0" w:space="0" w:color="auto"/>
            <w:left w:val="none" w:sz="0" w:space="0" w:color="auto"/>
            <w:bottom w:val="none" w:sz="0" w:space="0" w:color="auto"/>
            <w:right w:val="none" w:sz="0" w:space="0" w:color="auto"/>
          </w:divBdr>
        </w:div>
        <w:div w:id="313804496">
          <w:marLeft w:val="0"/>
          <w:marRight w:val="0"/>
          <w:marTop w:val="0"/>
          <w:marBottom w:val="0"/>
          <w:divBdr>
            <w:top w:val="none" w:sz="0" w:space="0" w:color="auto"/>
            <w:left w:val="none" w:sz="0" w:space="0" w:color="auto"/>
            <w:bottom w:val="none" w:sz="0" w:space="0" w:color="auto"/>
            <w:right w:val="none" w:sz="0" w:space="0" w:color="auto"/>
          </w:divBdr>
        </w:div>
        <w:div w:id="651493970">
          <w:marLeft w:val="0"/>
          <w:marRight w:val="0"/>
          <w:marTop w:val="0"/>
          <w:marBottom w:val="0"/>
          <w:divBdr>
            <w:top w:val="none" w:sz="0" w:space="0" w:color="auto"/>
            <w:left w:val="none" w:sz="0" w:space="0" w:color="auto"/>
            <w:bottom w:val="none" w:sz="0" w:space="0" w:color="auto"/>
            <w:right w:val="none" w:sz="0" w:space="0" w:color="auto"/>
          </w:divBdr>
        </w:div>
        <w:div w:id="2091921037">
          <w:marLeft w:val="0"/>
          <w:marRight w:val="0"/>
          <w:marTop w:val="0"/>
          <w:marBottom w:val="0"/>
          <w:divBdr>
            <w:top w:val="none" w:sz="0" w:space="0" w:color="auto"/>
            <w:left w:val="none" w:sz="0" w:space="0" w:color="auto"/>
            <w:bottom w:val="none" w:sz="0" w:space="0" w:color="auto"/>
            <w:right w:val="none" w:sz="0" w:space="0" w:color="auto"/>
          </w:divBdr>
        </w:div>
        <w:div w:id="2052261589">
          <w:marLeft w:val="0"/>
          <w:marRight w:val="0"/>
          <w:marTop w:val="0"/>
          <w:marBottom w:val="0"/>
          <w:divBdr>
            <w:top w:val="none" w:sz="0" w:space="0" w:color="auto"/>
            <w:left w:val="none" w:sz="0" w:space="0" w:color="auto"/>
            <w:bottom w:val="none" w:sz="0" w:space="0" w:color="auto"/>
            <w:right w:val="none" w:sz="0" w:space="0" w:color="auto"/>
          </w:divBdr>
        </w:div>
        <w:div w:id="695277410">
          <w:marLeft w:val="0"/>
          <w:marRight w:val="0"/>
          <w:marTop w:val="0"/>
          <w:marBottom w:val="0"/>
          <w:divBdr>
            <w:top w:val="none" w:sz="0" w:space="0" w:color="auto"/>
            <w:left w:val="none" w:sz="0" w:space="0" w:color="auto"/>
            <w:bottom w:val="none" w:sz="0" w:space="0" w:color="auto"/>
            <w:right w:val="none" w:sz="0" w:space="0" w:color="auto"/>
          </w:divBdr>
        </w:div>
        <w:div w:id="648052529">
          <w:marLeft w:val="0"/>
          <w:marRight w:val="0"/>
          <w:marTop w:val="0"/>
          <w:marBottom w:val="0"/>
          <w:divBdr>
            <w:top w:val="none" w:sz="0" w:space="0" w:color="auto"/>
            <w:left w:val="none" w:sz="0" w:space="0" w:color="auto"/>
            <w:bottom w:val="none" w:sz="0" w:space="0" w:color="auto"/>
            <w:right w:val="none" w:sz="0" w:space="0" w:color="auto"/>
          </w:divBdr>
        </w:div>
        <w:div w:id="578710809">
          <w:marLeft w:val="0"/>
          <w:marRight w:val="0"/>
          <w:marTop w:val="0"/>
          <w:marBottom w:val="0"/>
          <w:divBdr>
            <w:top w:val="none" w:sz="0" w:space="0" w:color="auto"/>
            <w:left w:val="none" w:sz="0" w:space="0" w:color="auto"/>
            <w:bottom w:val="none" w:sz="0" w:space="0" w:color="auto"/>
            <w:right w:val="none" w:sz="0" w:space="0" w:color="auto"/>
          </w:divBdr>
        </w:div>
        <w:div w:id="292638473">
          <w:marLeft w:val="0"/>
          <w:marRight w:val="0"/>
          <w:marTop w:val="0"/>
          <w:marBottom w:val="0"/>
          <w:divBdr>
            <w:top w:val="none" w:sz="0" w:space="0" w:color="auto"/>
            <w:left w:val="none" w:sz="0" w:space="0" w:color="auto"/>
            <w:bottom w:val="none" w:sz="0" w:space="0" w:color="auto"/>
            <w:right w:val="none" w:sz="0" w:space="0" w:color="auto"/>
          </w:divBdr>
        </w:div>
        <w:div w:id="765226472">
          <w:marLeft w:val="0"/>
          <w:marRight w:val="0"/>
          <w:marTop w:val="0"/>
          <w:marBottom w:val="0"/>
          <w:divBdr>
            <w:top w:val="none" w:sz="0" w:space="0" w:color="auto"/>
            <w:left w:val="none" w:sz="0" w:space="0" w:color="auto"/>
            <w:bottom w:val="none" w:sz="0" w:space="0" w:color="auto"/>
            <w:right w:val="none" w:sz="0" w:space="0" w:color="auto"/>
          </w:divBdr>
        </w:div>
        <w:div w:id="355473060">
          <w:marLeft w:val="0"/>
          <w:marRight w:val="0"/>
          <w:marTop w:val="0"/>
          <w:marBottom w:val="0"/>
          <w:divBdr>
            <w:top w:val="none" w:sz="0" w:space="0" w:color="auto"/>
            <w:left w:val="none" w:sz="0" w:space="0" w:color="auto"/>
            <w:bottom w:val="none" w:sz="0" w:space="0" w:color="auto"/>
            <w:right w:val="none" w:sz="0" w:space="0" w:color="auto"/>
          </w:divBdr>
        </w:div>
        <w:div w:id="561449529">
          <w:marLeft w:val="0"/>
          <w:marRight w:val="0"/>
          <w:marTop w:val="0"/>
          <w:marBottom w:val="0"/>
          <w:divBdr>
            <w:top w:val="none" w:sz="0" w:space="0" w:color="auto"/>
            <w:left w:val="none" w:sz="0" w:space="0" w:color="auto"/>
            <w:bottom w:val="none" w:sz="0" w:space="0" w:color="auto"/>
            <w:right w:val="none" w:sz="0" w:space="0" w:color="auto"/>
          </w:divBdr>
        </w:div>
        <w:div w:id="1094741072">
          <w:marLeft w:val="0"/>
          <w:marRight w:val="0"/>
          <w:marTop w:val="0"/>
          <w:marBottom w:val="0"/>
          <w:divBdr>
            <w:top w:val="none" w:sz="0" w:space="0" w:color="auto"/>
            <w:left w:val="none" w:sz="0" w:space="0" w:color="auto"/>
            <w:bottom w:val="none" w:sz="0" w:space="0" w:color="auto"/>
            <w:right w:val="none" w:sz="0" w:space="0" w:color="auto"/>
          </w:divBdr>
        </w:div>
        <w:div w:id="1533953364">
          <w:marLeft w:val="0"/>
          <w:marRight w:val="0"/>
          <w:marTop w:val="0"/>
          <w:marBottom w:val="0"/>
          <w:divBdr>
            <w:top w:val="none" w:sz="0" w:space="0" w:color="auto"/>
            <w:left w:val="none" w:sz="0" w:space="0" w:color="auto"/>
            <w:bottom w:val="none" w:sz="0" w:space="0" w:color="auto"/>
            <w:right w:val="none" w:sz="0" w:space="0" w:color="auto"/>
          </w:divBdr>
        </w:div>
        <w:div w:id="1464425308">
          <w:marLeft w:val="0"/>
          <w:marRight w:val="0"/>
          <w:marTop w:val="0"/>
          <w:marBottom w:val="0"/>
          <w:divBdr>
            <w:top w:val="none" w:sz="0" w:space="0" w:color="auto"/>
            <w:left w:val="none" w:sz="0" w:space="0" w:color="auto"/>
            <w:bottom w:val="none" w:sz="0" w:space="0" w:color="auto"/>
            <w:right w:val="none" w:sz="0" w:space="0" w:color="auto"/>
          </w:divBdr>
        </w:div>
        <w:div w:id="2055428419">
          <w:marLeft w:val="0"/>
          <w:marRight w:val="0"/>
          <w:marTop w:val="0"/>
          <w:marBottom w:val="0"/>
          <w:divBdr>
            <w:top w:val="none" w:sz="0" w:space="0" w:color="auto"/>
            <w:left w:val="none" w:sz="0" w:space="0" w:color="auto"/>
            <w:bottom w:val="none" w:sz="0" w:space="0" w:color="auto"/>
            <w:right w:val="none" w:sz="0" w:space="0" w:color="auto"/>
          </w:divBdr>
        </w:div>
        <w:div w:id="154958560">
          <w:marLeft w:val="0"/>
          <w:marRight w:val="0"/>
          <w:marTop w:val="0"/>
          <w:marBottom w:val="0"/>
          <w:divBdr>
            <w:top w:val="none" w:sz="0" w:space="0" w:color="auto"/>
            <w:left w:val="none" w:sz="0" w:space="0" w:color="auto"/>
            <w:bottom w:val="none" w:sz="0" w:space="0" w:color="auto"/>
            <w:right w:val="none" w:sz="0" w:space="0" w:color="auto"/>
          </w:divBdr>
        </w:div>
        <w:div w:id="311252983">
          <w:marLeft w:val="0"/>
          <w:marRight w:val="0"/>
          <w:marTop w:val="0"/>
          <w:marBottom w:val="0"/>
          <w:divBdr>
            <w:top w:val="none" w:sz="0" w:space="0" w:color="auto"/>
            <w:left w:val="none" w:sz="0" w:space="0" w:color="auto"/>
            <w:bottom w:val="none" w:sz="0" w:space="0" w:color="auto"/>
            <w:right w:val="none" w:sz="0" w:space="0" w:color="auto"/>
          </w:divBdr>
        </w:div>
        <w:div w:id="1123353195">
          <w:marLeft w:val="0"/>
          <w:marRight w:val="0"/>
          <w:marTop w:val="0"/>
          <w:marBottom w:val="0"/>
          <w:divBdr>
            <w:top w:val="none" w:sz="0" w:space="0" w:color="auto"/>
            <w:left w:val="none" w:sz="0" w:space="0" w:color="auto"/>
            <w:bottom w:val="none" w:sz="0" w:space="0" w:color="auto"/>
            <w:right w:val="none" w:sz="0" w:space="0" w:color="auto"/>
          </w:divBdr>
        </w:div>
        <w:div w:id="1369144196">
          <w:marLeft w:val="0"/>
          <w:marRight w:val="0"/>
          <w:marTop w:val="0"/>
          <w:marBottom w:val="0"/>
          <w:divBdr>
            <w:top w:val="none" w:sz="0" w:space="0" w:color="auto"/>
            <w:left w:val="none" w:sz="0" w:space="0" w:color="auto"/>
            <w:bottom w:val="none" w:sz="0" w:space="0" w:color="auto"/>
            <w:right w:val="none" w:sz="0" w:space="0" w:color="auto"/>
          </w:divBdr>
        </w:div>
        <w:div w:id="771583606">
          <w:marLeft w:val="0"/>
          <w:marRight w:val="0"/>
          <w:marTop w:val="0"/>
          <w:marBottom w:val="0"/>
          <w:divBdr>
            <w:top w:val="none" w:sz="0" w:space="0" w:color="auto"/>
            <w:left w:val="none" w:sz="0" w:space="0" w:color="auto"/>
            <w:bottom w:val="none" w:sz="0" w:space="0" w:color="auto"/>
            <w:right w:val="none" w:sz="0" w:space="0" w:color="auto"/>
          </w:divBdr>
        </w:div>
        <w:div w:id="1613124982">
          <w:marLeft w:val="0"/>
          <w:marRight w:val="0"/>
          <w:marTop w:val="0"/>
          <w:marBottom w:val="0"/>
          <w:divBdr>
            <w:top w:val="none" w:sz="0" w:space="0" w:color="auto"/>
            <w:left w:val="none" w:sz="0" w:space="0" w:color="auto"/>
            <w:bottom w:val="none" w:sz="0" w:space="0" w:color="auto"/>
            <w:right w:val="none" w:sz="0" w:space="0" w:color="auto"/>
          </w:divBdr>
        </w:div>
        <w:div w:id="542593728">
          <w:marLeft w:val="0"/>
          <w:marRight w:val="0"/>
          <w:marTop w:val="0"/>
          <w:marBottom w:val="0"/>
          <w:divBdr>
            <w:top w:val="none" w:sz="0" w:space="0" w:color="auto"/>
            <w:left w:val="none" w:sz="0" w:space="0" w:color="auto"/>
            <w:bottom w:val="none" w:sz="0" w:space="0" w:color="auto"/>
            <w:right w:val="none" w:sz="0" w:space="0" w:color="auto"/>
          </w:divBdr>
        </w:div>
        <w:div w:id="1103572563">
          <w:marLeft w:val="0"/>
          <w:marRight w:val="0"/>
          <w:marTop w:val="0"/>
          <w:marBottom w:val="0"/>
          <w:divBdr>
            <w:top w:val="none" w:sz="0" w:space="0" w:color="auto"/>
            <w:left w:val="none" w:sz="0" w:space="0" w:color="auto"/>
            <w:bottom w:val="none" w:sz="0" w:space="0" w:color="auto"/>
            <w:right w:val="none" w:sz="0" w:space="0" w:color="auto"/>
          </w:divBdr>
        </w:div>
        <w:div w:id="1135486514">
          <w:marLeft w:val="0"/>
          <w:marRight w:val="0"/>
          <w:marTop w:val="0"/>
          <w:marBottom w:val="0"/>
          <w:divBdr>
            <w:top w:val="none" w:sz="0" w:space="0" w:color="auto"/>
            <w:left w:val="none" w:sz="0" w:space="0" w:color="auto"/>
            <w:bottom w:val="none" w:sz="0" w:space="0" w:color="auto"/>
            <w:right w:val="none" w:sz="0" w:space="0" w:color="auto"/>
          </w:divBdr>
        </w:div>
        <w:div w:id="1715614950">
          <w:marLeft w:val="0"/>
          <w:marRight w:val="0"/>
          <w:marTop w:val="0"/>
          <w:marBottom w:val="0"/>
          <w:divBdr>
            <w:top w:val="none" w:sz="0" w:space="0" w:color="auto"/>
            <w:left w:val="none" w:sz="0" w:space="0" w:color="auto"/>
            <w:bottom w:val="none" w:sz="0" w:space="0" w:color="auto"/>
            <w:right w:val="none" w:sz="0" w:space="0" w:color="auto"/>
          </w:divBdr>
        </w:div>
        <w:div w:id="1708525890">
          <w:marLeft w:val="0"/>
          <w:marRight w:val="0"/>
          <w:marTop w:val="0"/>
          <w:marBottom w:val="0"/>
          <w:divBdr>
            <w:top w:val="none" w:sz="0" w:space="0" w:color="auto"/>
            <w:left w:val="none" w:sz="0" w:space="0" w:color="auto"/>
            <w:bottom w:val="none" w:sz="0" w:space="0" w:color="auto"/>
            <w:right w:val="none" w:sz="0" w:space="0" w:color="auto"/>
          </w:divBdr>
        </w:div>
        <w:div w:id="1128551064">
          <w:marLeft w:val="0"/>
          <w:marRight w:val="0"/>
          <w:marTop w:val="0"/>
          <w:marBottom w:val="0"/>
          <w:divBdr>
            <w:top w:val="none" w:sz="0" w:space="0" w:color="auto"/>
            <w:left w:val="none" w:sz="0" w:space="0" w:color="auto"/>
            <w:bottom w:val="none" w:sz="0" w:space="0" w:color="auto"/>
            <w:right w:val="none" w:sz="0" w:space="0" w:color="auto"/>
          </w:divBdr>
        </w:div>
        <w:div w:id="1003050288">
          <w:marLeft w:val="0"/>
          <w:marRight w:val="0"/>
          <w:marTop w:val="0"/>
          <w:marBottom w:val="0"/>
          <w:divBdr>
            <w:top w:val="none" w:sz="0" w:space="0" w:color="auto"/>
            <w:left w:val="none" w:sz="0" w:space="0" w:color="auto"/>
            <w:bottom w:val="none" w:sz="0" w:space="0" w:color="auto"/>
            <w:right w:val="none" w:sz="0" w:space="0" w:color="auto"/>
          </w:divBdr>
        </w:div>
        <w:div w:id="827214401">
          <w:marLeft w:val="0"/>
          <w:marRight w:val="0"/>
          <w:marTop w:val="0"/>
          <w:marBottom w:val="0"/>
          <w:divBdr>
            <w:top w:val="none" w:sz="0" w:space="0" w:color="auto"/>
            <w:left w:val="none" w:sz="0" w:space="0" w:color="auto"/>
            <w:bottom w:val="none" w:sz="0" w:space="0" w:color="auto"/>
            <w:right w:val="none" w:sz="0" w:space="0" w:color="auto"/>
          </w:divBdr>
        </w:div>
        <w:div w:id="950011405">
          <w:marLeft w:val="0"/>
          <w:marRight w:val="0"/>
          <w:marTop w:val="0"/>
          <w:marBottom w:val="0"/>
          <w:divBdr>
            <w:top w:val="none" w:sz="0" w:space="0" w:color="auto"/>
            <w:left w:val="none" w:sz="0" w:space="0" w:color="auto"/>
            <w:bottom w:val="none" w:sz="0" w:space="0" w:color="auto"/>
            <w:right w:val="none" w:sz="0" w:space="0" w:color="auto"/>
          </w:divBdr>
        </w:div>
        <w:div w:id="416098852">
          <w:marLeft w:val="0"/>
          <w:marRight w:val="0"/>
          <w:marTop w:val="0"/>
          <w:marBottom w:val="0"/>
          <w:divBdr>
            <w:top w:val="none" w:sz="0" w:space="0" w:color="auto"/>
            <w:left w:val="none" w:sz="0" w:space="0" w:color="auto"/>
            <w:bottom w:val="none" w:sz="0" w:space="0" w:color="auto"/>
            <w:right w:val="none" w:sz="0" w:space="0" w:color="auto"/>
          </w:divBdr>
        </w:div>
        <w:div w:id="753206206">
          <w:marLeft w:val="0"/>
          <w:marRight w:val="0"/>
          <w:marTop w:val="0"/>
          <w:marBottom w:val="0"/>
          <w:divBdr>
            <w:top w:val="none" w:sz="0" w:space="0" w:color="auto"/>
            <w:left w:val="none" w:sz="0" w:space="0" w:color="auto"/>
            <w:bottom w:val="none" w:sz="0" w:space="0" w:color="auto"/>
            <w:right w:val="none" w:sz="0" w:space="0" w:color="auto"/>
          </w:divBdr>
        </w:div>
        <w:div w:id="729811109">
          <w:marLeft w:val="0"/>
          <w:marRight w:val="0"/>
          <w:marTop w:val="0"/>
          <w:marBottom w:val="0"/>
          <w:divBdr>
            <w:top w:val="none" w:sz="0" w:space="0" w:color="auto"/>
            <w:left w:val="none" w:sz="0" w:space="0" w:color="auto"/>
            <w:bottom w:val="none" w:sz="0" w:space="0" w:color="auto"/>
            <w:right w:val="none" w:sz="0" w:space="0" w:color="auto"/>
          </w:divBdr>
        </w:div>
        <w:div w:id="965623196">
          <w:marLeft w:val="0"/>
          <w:marRight w:val="0"/>
          <w:marTop w:val="0"/>
          <w:marBottom w:val="0"/>
          <w:divBdr>
            <w:top w:val="none" w:sz="0" w:space="0" w:color="auto"/>
            <w:left w:val="none" w:sz="0" w:space="0" w:color="auto"/>
            <w:bottom w:val="none" w:sz="0" w:space="0" w:color="auto"/>
            <w:right w:val="none" w:sz="0" w:space="0" w:color="auto"/>
          </w:divBdr>
        </w:div>
        <w:div w:id="876896308">
          <w:marLeft w:val="0"/>
          <w:marRight w:val="0"/>
          <w:marTop w:val="0"/>
          <w:marBottom w:val="0"/>
          <w:divBdr>
            <w:top w:val="none" w:sz="0" w:space="0" w:color="auto"/>
            <w:left w:val="none" w:sz="0" w:space="0" w:color="auto"/>
            <w:bottom w:val="none" w:sz="0" w:space="0" w:color="auto"/>
            <w:right w:val="none" w:sz="0" w:space="0" w:color="auto"/>
          </w:divBdr>
        </w:div>
        <w:div w:id="1220172522">
          <w:marLeft w:val="0"/>
          <w:marRight w:val="0"/>
          <w:marTop w:val="0"/>
          <w:marBottom w:val="0"/>
          <w:divBdr>
            <w:top w:val="none" w:sz="0" w:space="0" w:color="auto"/>
            <w:left w:val="none" w:sz="0" w:space="0" w:color="auto"/>
            <w:bottom w:val="none" w:sz="0" w:space="0" w:color="auto"/>
            <w:right w:val="none" w:sz="0" w:space="0" w:color="auto"/>
          </w:divBdr>
        </w:div>
        <w:div w:id="1945113876">
          <w:marLeft w:val="0"/>
          <w:marRight w:val="0"/>
          <w:marTop w:val="0"/>
          <w:marBottom w:val="0"/>
          <w:divBdr>
            <w:top w:val="none" w:sz="0" w:space="0" w:color="auto"/>
            <w:left w:val="none" w:sz="0" w:space="0" w:color="auto"/>
            <w:bottom w:val="none" w:sz="0" w:space="0" w:color="auto"/>
            <w:right w:val="none" w:sz="0" w:space="0" w:color="auto"/>
          </w:divBdr>
        </w:div>
        <w:div w:id="670720444">
          <w:marLeft w:val="0"/>
          <w:marRight w:val="0"/>
          <w:marTop w:val="0"/>
          <w:marBottom w:val="0"/>
          <w:divBdr>
            <w:top w:val="none" w:sz="0" w:space="0" w:color="auto"/>
            <w:left w:val="none" w:sz="0" w:space="0" w:color="auto"/>
            <w:bottom w:val="none" w:sz="0" w:space="0" w:color="auto"/>
            <w:right w:val="none" w:sz="0" w:space="0" w:color="auto"/>
          </w:divBdr>
        </w:div>
        <w:div w:id="2128429851">
          <w:marLeft w:val="0"/>
          <w:marRight w:val="0"/>
          <w:marTop w:val="0"/>
          <w:marBottom w:val="0"/>
          <w:divBdr>
            <w:top w:val="none" w:sz="0" w:space="0" w:color="auto"/>
            <w:left w:val="none" w:sz="0" w:space="0" w:color="auto"/>
            <w:bottom w:val="none" w:sz="0" w:space="0" w:color="auto"/>
            <w:right w:val="none" w:sz="0" w:space="0" w:color="auto"/>
          </w:divBdr>
        </w:div>
        <w:div w:id="35669800">
          <w:marLeft w:val="0"/>
          <w:marRight w:val="0"/>
          <w:marTop w:val="0"/>
          <w:marBottom w:val="0"/>
          <w:divBdr>
            <w:top w:val="none" w:sz="0" w:space="0" w:color="auto"/>
            <w:left w:val="none" w:sz="0" w:space="0" w:color="auto"/>
            <w:bottom w:val="none" w:sz="0" w:space="0" w:color="auto"/>
            <w:right w:val="none" w:sz="0" w:space="0" w:color="auto"/>
          </w:divBdr>
        </w:div>
        <w:div w:id="1748380757">
          <w:marLeft w:val="0"/>
          <w:marRight w:val="0"/>
          <w:marTop w:val="0"/>
          <w:marBottom w:val="0"/>
          <w:divBdr>
            <w:top w:val="none" w:sz="0" w:space="0" w:color="auto"/>
            <w:left w:val="none" w:sz="0" w:space="0" w:color="auto"/>
            <w:bottom w:val="none" w:sz="0" w:space="0" w:color="auto"/>
            <w:right w:val="none" w:sz="0" w:space="0" w:color="auto"/>
          </w:divBdr>
        </w:div>
        <w:div w:id="1259212361">
          <w:marLeft w:val="0"/>
          <w:marRight w:val="0"/>
          <w:marTop w:val="0"/>
          <w:marBottom w:val="0"/>
          <w:divBdr>
            <w:top w:val="none" w:sz="0" w:space="0" w:color="auto"/>
            <w:left w:val="none" w:sz="0" w:space="0" w:color="auto"/>
            <w:bottom w:val="none" w:sz="0" w:space="0" w:color="auto"/>
            <w:right w:val="none" w:sz="0" w:space="0" w:color="auto"/>
          </w:divBdr>
        </w:div>
        <w:div w:id="227154194">
          <w:marLeft w:val="0"/>
          <w:marRight w:val="0"/>
          <w:marTop w:val="0"/>
          <w:marBottom w:val="0"/>
          <w:divBdr>
            <w:top w:val="none" w:sz="0" w:space="0" w:color="auto"/>
            <w:left w:val="none" w:sz="0" w:space="0" w:color="auto"/>
            <w:bottom w:val="none" w:sz="0" w:space="0" w:color="auto"/>
            <w:right w:val="none" w:sz="0" w:space="0" w:color="auto"/>
          </w:divBdr>
        </w:div>
        <w:div w:id="1565330067">
          <w:marLeft w:val="0"/>
          <w:marRight w:val="0"/>
          <w:marTop w:val="0"/>
          <w:marBottom w:val="0"/>
          <w:divBdr>
            <w:top w:val="none" w:sz="0" w:space="0" w:color="auto"/>
            <w:left w:val="none" w:sz="0" w:space="0" w:color="auto"/>
            <w:bottom w:val="none" w:sz="0" w:space="0" w:color="auto"/>
            <w:right w:val="none" w:sz="0" w:space="0" w:color="auto"/>
          </w:divBdr>
        </w:div>
        <w:div w:id="7951739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743</Words>
  <Characters>4240</Characters>
  <Application>Microsoft Office Word</Application>
  <DocSecurity>0</DocSecurity>
  <Lines>35</Lines>
  <Paragraphs>9</Paragraphs>
  <ScaleCrop>false</ScaleCrop>
  <Company>Microsoft</Company>
  <LinksUpToDate>false</LinksUpToDate>
  <CharactersWithSpaces>4974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2012-01-19T07:10:00Z</dcterms:created>
  <dcterms:modified xsi:type="dcterms:W3CDTF">2012-01-19T07:10:00Z</dcterms:modified>
</cp:coreProperties>
</file>